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304" w:rsidRDefault="00263304" w:rsidP="00263304">
      <w:pPr>
        <w:jc w:val="center"/>
        <w:rPr>
          <w:rFonts w:ascii="Times New Roman" w:eastAsia="Times New Roman" w:hAnsi="Times New Roman" w:cs="Times New Roman"/>
          <w:b/>
          <w:sz w:val="32"/>
          <w:szCs w:val="28"/>
          <w:lang w:eastAsia="ru-RU"/>
        </w:rPr>
      </w:pPr>
      <w:bookmarkStart w:id="0" w:name="_GoBack"/>
      <w:bookmarkEnd w:id="0"/>
    </w:p>
    <w:p w:rsidR="00263304" w:rsidRDefault="00263304" w:rsidP="00263304">
      <w:pPr>
        <w:jc w:val="center"/>
        <w:rPr>
          <w:rFonts w:ascii="Times New Roman" w:eastAsia="Times New Roman" w:hAnsi="Times New Roman" w:cs="Times New Roman"/>
          <w:b/>
          <w:sz w:val="32"/>
          <w:szCs w:val="28"/>
          <w:lang w:eastAsia="ru-RU"/>
        </w:rPr>
      </w:pPr>
    </w:p>
    <w:p w:rsidR="00263304" w:rsidRDefault="00263304" w:rsidP="00263304">
      <w:pPr>
        <w:jc w:val="center"/>
        <w:rPr>
          <w:rFonts w:ascii="Times New Roman" w:eastAsia="Times New Roman" w:hAnsi="Times New Roman" w:cs="Times New Roman"/>
          <w:b/>
          <w:sz w:val="32"/>
          <w:szCs w:val="28"/>
          <w:lang w:eastAsia="ru-RU"/>
        </w:rPr>
      </w:pPr>
    </w:p>
    <w:p w:rsidR="00263304" w:rsidRDefault="00263304" w:rsidP="00263304">
      <w:pPr>
        <w:jc w:val="center"/>
        <w:rPr>
          <w:rFonts w:ascii="Times New Roman" w:eastAsia="Times New Roman" w:hAnsi="Times New Roman" w:cs="Times New Roman"/>
          <w:b/>
          <w:sz w:val="32"/>
          <w:szCs w:val="28"/>
          <w:lang w:eastAsia="ru-RU"/>
        </w:rPr>
      </w:pPr>
    </w:p>
    <w:p w:rsidR="00263304" w:rsidRDefault="00263304" w:rsidP="00263304">
      <w:pPr>
        <w:jc w:val="center"/>
        <w:rPr>
          <w:rFonts w:ascii="Times New Roman" w:eastAsia="Times New Roman" w:hAnsi="Times New Roman" w:cs="Times New Roman"/>
          <w:b/>
          <w:sz w:val="32"/>
          <w:szCs w:val="28"/>
          <w:lang w:eastAsia="ru-RU"/>
        </w:rPr>
      </w:pPr>
    </w:p>
    <w:p w:rsidR="00263304" w:rsidRDefault="00263304" w:rsidP="00263304">
      <w:pPr>
        <w:jc w:val="center"/>
        <w:rPr>
          <w:rFonts w:ascii="Times New Roman" w:eastAsia="Times New Roman" w:hAnsi="Times New Roman" w:cs="Times New Roman"/>
          <w:b/>
          <w:sz w:val="32"/>
          <w:szCs w:val="28"/>
          <w:lang w:eastAsia="ru-RU"/>
        </w:rPr>
      </w:pPr>
    </w:p>
    <w:p w:rsidR="00263304" w:rsidRDefault="00263304" w:rsidP="00263304">
      <w:pPr>
        <w:jc w:val="center"/>
        <w:rPr>
          <w:rFonts w:ascii="Times New Roman" w:eastAsia="Times New Roman" w:hAnsi="Times New Roman" w:cs="Times New Roman"/>
          <w:b/>
          <w:sz w:val="32"/>
          <w:szCs w:val="28"/>
          <w:lang w:eastAsia="ru-RU"/>
        </w:rPr>
      </w:pPr>
    </w:p>
    <w:p w:rsidR="00263304" w:rsidRDefault="00263304" w:rsidP="00263304">
      <w:pPr>
        <w:jc w:val="center"/>
        <w:rPr>
          <w:rFonts w:ascii="Times New Roman" w:eastAsia="Times New Roman" w:hAnsi="Times New Roman" w:cs="Times New Roman"/>
          <w:b/>
          <w:sz w:val="32"/>
          <w:szCs w:val="28"/>
          <w:lang w:eastAsia="ru-RU"/>
        </w:rPr>
      </w:pPr>
    </w:p>
    <w:p w:rsidR="00263304" w:rsidRDefault="00263304" w:rsidP="00263304">
      <w:pPr>
        <w:jc w:val="center"/>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t>Прикладное исследование на тему</w:t>
      </w:r>
    </w:p>
    <w:p w:rsidR="003151FB" w:rsidRPr="00263304" w:rsidRDefault="001215D6" w:rsidP="00263304">
      <w:pPr>
        <w:jc w:val="center"/>
        <w:rPr>
          <w:rFonts w:ascii="Times New Roman" w:eastAsia="Times New Roman" w:hAnsi="Times New Roman" w:cs="Times New Roman"/>
          <w:b/>
          <w:sz w:val="32"/>
          <w:szCs w:val="28"/>
          <w:lang w:eastAsia="ru-RU"/>
        </w:rPr>
      </w:pPr>
      <w:r w:rsidRPr="00263304">
        <w:rPr>
          <w:rFonts w:ascii="Times New Roman" w:eastAsia="Times New Roman" w:hAnsi="Times New Roman" w:cs="Times New Roman"/>
          <w:b/>
          <w:sz w:val="32"/>
          <w:szCs w:val="28"/>
          <w:lang w:val="tr-TR" w:eastAsia="ru-RU"/>
        </w:rPr>
        <w:t>«Изучение расходов на здравоохранение в Казахстане в сравнении со странами ОЭСР и анализ оценки паритета покупательной способности в области здравоохранения</w:t>
      </w:r>
      <w:r w:rsidR="00263304">
        <w:rPr>
          <w:rFonts w:ascii="Times New Roman" w:eastAsia="Times New Roman" w:hAnsi="Times New Roman" w:cs="Times New Roman"/>
          <w:b/>
          <w:sz w:val="32"/>
          <w:szCs w:val="28"/>
          <w:lang w:eastAsia="ru-RU"/>
        </w:rPr>
        <w:t>»</w:t>
      </w: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p w:rsidR="00263304" w:rsidRDefault="00263304" w:rsidP="003151FB">
      <w:pPr>
        <w:rPr>
          <w:rFonts w:ascii="Times New Roman" w:eastAsia="Times New Roman" w:hAnsi="Times New Roman" w:cs="Times New Roman"/>
          <w:b/>
          <w:sz w:val="28"/>
          <w:szCs w:val="28"/>
          <w:lang w:val="tr-TR" w:eastAsia="ru-RU"/>
        </w:rPr>
      </w:pPr>
    </w:p>
    <w:tbl>
      <w:tblPr>
        <w:tblW w:w="10088" w:type="dxa"/>
        <w:tblLook w:val="01E0" w:firstRow="1" w:lastRow="1" w:firstColumn="1" w:lastColumn="1" w:noHBand="0" w:noVBand="0"/>
      </w:tblPr>
      <w:tblGrid>
        <w:gridCol w:w="9644"/>
        <w:gridCol w:w="222"/>
        <w:gridCol w:w="222"/>
      </w:tblGrid>
      <w:tr w:rsidR="003151FB" w:rsidRPr="00D27FA7" w:rsidTr="00263304">
        <w:tc>
          <w:tcPr>
            <w:tcW w:w="9644" w:type="dxa"/>
          </w:tcPr>
          <w:sdt>
            <w:sdtPr>
              <w:rPr>
                <w:rFonts w:ascii="Times New Roman" w:eastAsia="Times New Roman" w:hAnsi="Times New Roman" w:cs="Times New Roman"/>
                <w:sz w:val="28"/>
                <w:szCs w:val="28"/>
                <w:lang w:eastAsia="ru-RU"/>
              </w:rPr>
              <w:id w:val="-2119904964"/>
              <w:docPartObj>
                <w:docPartGallery w:val="Table of Contents"/>
                <w:docPartUnique/>
              </w:docPartObj>
            </w:sdtPr>
            <w:sdtEndPr/>
            <w:sdtContent>
              <w:p w:rsidR="003151FB" w:rsidRPr="00E64DDE" w:rsidRDefault="003151FB" w:rsidP="004F2F4B">
                <w:pPr>
                  <w:tabs>
                    <w:tab w:val="left" w:pos="284"/>
                  </w:tabs>
                  <w:spacing w:after="0" w:line="240" w:lineRule="auto"/>
                  <w:rPr>
                    <w:rFonts w:ascii="Times New Roman" w:eastAsia="Times New Roman" w:hAnsi="Times New Roman" w:cs="Times New Roman"/>
                    <w:b/>
                    <w:bCs/>
                    <w:sz w:val="28"/>
                    <w:szCs w:val="28"/>
                    <w:lang w:eastAsia="ru-RU"/>
                  </w:rPr>
                </w:pPr>
                <w:r w:rsidRPr="00E64DDE">
                  <w:rPr>
                    <w:rFonts w:ascii="Times New Roman" w:eastAsia="Times New Roman" w:hAnsi="Times New Roman" w:cs="Times New Roman"/>
                    <w:b/>
                    <w:bCs/>
                    <w:sz w:val="28"/>
                    <w:szCs w:val="28"/>
                    <w:lang w:eastAsia="ru-RU"/>
                  </w:rPr>
                  <w:t>Оглавление</w:t>
                </w:r>
              </w:p>
              <w:p w:rsidR="00196B72" w:rsidRPr="00E64DDE" w:rsidRDefault="00196B72" w:rsidP="004F2F4B">
                <w:pPr>
                  <w:tabs>
                    <w:tab w:val="left" w:pos="284"/>
                  </w:tabs>
                  <w:spacing w:after="0" w:line="240" w:lineRule="auto"/>
                  <w:rPr>
                    <w:rFonts w:ascii="Times New Roman" w:eastAsia="Times New Roman" w:hAnsi="Times New Roman" w:cs="Times New Roman"/>
                    <w:sz w:val="28"/>
                    <w:szCs w:val="28"/>
                    <w:lang w:eastAsia="ru-RU"/>
                  </w:rPr>
                </w:pPr>
              </w:p>
              <w:p w:rsidR="003151FB" w:rsidRPr="00E64DDE" w:rsidRDefault="00E206A4" w:rsidP="004F2F4B">
                <w:pPr>
                  <w:tabs>
                    <w:tab w:val="left" w:pos="28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Введение……………………………………………………………………………6</w:t>
                </w:r>
              </w:p>
              <w:p w:rsidR="00196B72" w:rsidRPr="00E64DDE" w:rsidRDefault="00196B72" w:rsidP="004F2F4B">
                <w:pPr>
                  <w:tabs>
                    <w:tab w:val="left" w:pos="284"/>
                  </w:tabs>
                  <w:spacing w:after="0" w:line="240" w:lineRule="auto"/>
                  <w:rPr>
                    <w:rFonts w:ascii="Times New Roman" w:eastAsia="Times New Roman" w:hAnsi="Times New Roman" w:cs="Times New Roman"/>
                    <w:sz w:val="28"/>
                    <w:szCs w:val="28"/>
                    <w:lang w:eastAsia="ru-RU"/>
                  </w:rPr>
                </w:pPr>
              </w:p>
              <w:p w:rsidR="003151FB" w:rsidRPr="00E64DDE" w:rsidRDefault="00196B72" w:rsidP="00E64DDE">
                <w:pPr>
                  <w:tabs>
                    <w:tab w:val="left" w:pos="284"/>
                  </w:tabs>
                  <w:spacing w:after="0" w:line="240" w:lineRule="auto"/>
                  <w:jc w:val="both"/>
                  <w:rPr>
                    <w:rFonts w:ascii="Times New Roman" w:eastAsia="Times New Roman" w:hAnsi="Times New Roman" w:cs="Times New Roman"/>
                    <w:sz w:val="28"/>
                    <w:szCs w:val="28"/>
                    <w:lang w:eastAsia="ru-RU"/>
                  </w:rPr>
                </w:pPr>
                <w:r w:rsidRPr="00E64DDE">
                  <w:rPr>
                    <w:rFonts w:ascii="Times New Roman" w:eastAsia="Times New Roman" w:hAnsi="Times New Roman" w:cs="Times New Roman"/>
                    <w:sz w:val="28"/>
                    <w:szCs w:val="28"/>
                    <w:lang w:eastAsia="ru-RU"/>
                  </w:rPr>
                  <w:t xml:space="preserve">Глава </w:t>
                </w:r>
                <w:r w:rsidR="00EE28AE" w:rsidRPr="00E64DDE">
                  <w:rPr>
                    <w:rFonts w:ascii="Times New Roman" w:eastAsia="Times New Roman" w:hAnsi="Times New Roman" w:cs="Times New Roman"/>
                    <w:sz w:val="28"/>
                    <w:szCs w:val="28"/>
                    <w:lang w:eastAsia="ru-RU"/>
                  </w:rPr>
                  <w:fldChar w:fldCharType="begin"/>
                </w:r>
                <w:r w:rsidR="003151FB" w:rsidRPr="00E64DDE">
                  <w:rPr>
                    <w:rFonts w:ascii="Times New Roman" w:eastAsia="Times New Roman" w:hAnsi="Times New Roman" w:cs="Times New Roman"/>
                    <w:sz w:val="28"/>
                    <w:szCs w:val="28"/>
                    <w:lang w:eastAsia="ru-RU"/>
                  </w:rPr>
                  <w:instrText xml:space="preserve"> TOC \o "1-3" \h \z \u </w:instrText>
                </w:r>
                <w:r w:rsidR="00EE28AE" w:rsidRPr="00E64DDE">
                  <w:rPr>
                    <w:rFonts w:ascii="Times New Roman" w:eastAsia="Times New Roman" w:hAnsi="Times New Roman" w:cs="Times New Roman"/>
                    <w:sz w:val="28"/>
                    <w:szCs w:val="28"/>
                    <w:lang w:eastAsia="ru-RU"/>
                  </w:rPr>
                  <w:fldChar w:fldCharType="separate"/>
                </w:r>
                <w:r w:rsidR="003151FB" w:rsidRPr="00E64DDE">
                  <w:rPr>
                    <w:rFonts w:ascii="Times New Roman" w:eastAsia="Times New Roman" w:hAnsi="Times New Roman" w:cs="Times New Roman"/>
                    <w:sz w:val="28"/>
                    <w:szCs w:val="28"/>
                    <w:lang w:eastAsia="ru-RU"/>
                  </w:rPr>
                  <w:t xml:space="preserve">1. </w:t>
                </w:r>
                <w:r w:rsidRPr="00E64DDE">
                  <w:rPr>
                    <w:rFonts w:ascii="Times New Roman" w:eastAsia="Times New Roman" w:hAnsi="Times New Roman" w:cs="Times New Roman"/>
                    <w:sz w:val="28"/>
                    <w:szCs w:val="28"/>
                    <w:lang w:eastAsia="ru-RU"/>
                  </w:rPr>
                  <w:t>Методологическое сопровождение оценки расходов в здравоохранении с применением паритетов покупательной способности</w:t>
                </w:r>
                <w:r w:rsidR="00E206A4">
                  <w:rPr>
                    <w:rFonts w:ascii="Times New Roman" w:eastAsia="Times New Roman" w:hAnsi="Times New Roman" w:cs="Times New Roman"/>
                    <w:sz w:val="28"/>
                    <w:szCs w:val="28"/>
                    <w:lang w:eastAsia="ru-RU"/>
                  </w:rPr>
                  <w:t>………………………………………………………………………..7</w:t>
                </w:r>
              </w:p>
              <w:p w:rsidR="003151FB" w:rsidRPr="00E64DDE" w:rsidRDefault="003151FB" w:rsidP="00E64DDE">
                <w:pPr>
                  <w:tabs>
                    <w:tab w:val="left" w:pos="284"/>
                  </w:tabs>
                  <w:spacing w:after="0" w:line="240" w:lineRule="auto"/>
                  <w:jc w:val="both"/>
                  <w:rPr>
                    <w:rFonts w:ascii="Times New Roman" w:eastAsia="Times New Roman" w:hAnsi="Times New Roman" w:cs="Times New Roman"/>
                    <w:sz w:val="28"/>
                    <w:szCs w:val="28"/>
                    <w:lang w:eastAsia="ru-RU"/>
                  </w:rPr>
                </w:pPr>
              </w:p>
              <w:p w:rsidR="003151FB" w:rsidRPr="00E64DDE" w:rsidRDefault="00196B72" w:rsidP="00E64DDE">
                <w:pPr>
                  <w:tabs>
                    <w:tab w:val="left" w:pos="284"/>
                  </w:tabs>
                  <w:spacing w:after="0" w:line="240" w:lineRule="auto"/>
                  <w:jc w:val="both"/>
                  <w:rPr>
                    <w:rFonts w:ascii="Times New Roman" w:hAnsi="Times New Roman" w:cs="Times New Roman"/>
                    <w:sz w:val="28"/>
                    <w:szCs w:val="28"/>
                  </w:rPr>
                </w:pPr>
                <w:r w:rsidRPr="00E64DDE">
                  <w:rPr>
                    <w:rFonts w:ascii="Times New Roman" w:eastAsia="Times New Roman" w:hAnsi="Times New Roman" w:cs="Times New Roman"/>
                    <w:sz w:val="28"/>
                    <w:szCs w:val="28"/>
                    <w:lang w:eastAsia="ru-RU"/>
                  </w:rPr>
                  <w:t xml:space="preserve">Глава </w:t>
                </w:r>
                <w:r w:rsidR="003151FB" w:rsidRPr="00E64DDE">
                  <w:rPr>
                    <w:rFonts w:ascii="Times New Roman" w:eastAsia="Times New Roman" w:hAnsi="Times New Roman" w:cs="Times New Roman"/>
                    <w:sz w:val="28"/>
                    <w:szCs w:val="28"/>
                    <w:lang w:eastAsia="ru-RU"/>
                  </w:rPr>
                  <w:t xml:space="preserve">2. </w:t>
                </w:r>
                <w:r w:rsidRPr="00E64DDE">
                  <w:rPr>
                    <w:rFonts w:ascii="Times New Roman" w:hAnsi="Times New Roman" w:cs="Times New Roman"/>
                    <w:sz w:val="28"/>
                    <w:szCs w:val="28"/>
                  </w:rPr>
                  <w:t xml:space="preserve">Изучение расходов на </w:t>
                </w:r>
                <w:r w:rsidR="00AA753B" w:rsidRPr="00E64DDE">
                  <w:rPr>
                    <w:rFonts w:ascii="Times New Roman" w:hAnsi="Times New Roman" w:cs="Times New Roman"/>
                    <w:sz w:val="28"/>
                    <w:szCs w:val="28"/>
                  </w:rPr>
                  <w:t xml:space="preserve">нехирургические и хирургические типы случаев, оказываемых в </w:t>
                </w:r>
                <w:r w:rsidRPr="00E64DDE">
                  <w:rPr>
                    <w:rFonts w:ascii="Times New Roman" w:hAnsi="Times New Roman" w:cs="Times New Roman"/>
                    <w:sz w:val="28"/>
                    <w:szCs w:val="28"/>
                  </w:rPr>
                  <w:t>стационар</w:t>
                </w:r>
                <w:r w:rsidR="00AA753B" w:rsidRPr="00E64DDE">
                  <w:rPr>
                    <w:rFonts w:ascii="Times New Roman" w:hAnsi="Times New Roman" w:cs="Times New Roman"/>
                    <w:sz w:val="28"/>
                    <w:szCs w:val="28"/>
                  </w:rPr>
                  <w:t>е</w:t>
                </w:r>
              </w:p>
              <w:p w:rsidR="003151FB" w:rsidRPr="00E64DDE" w:rsidRDefault="00196B72" w:rsidP="00E64DDE">
                <w:pPr>
                  <w:tabs>
                    <w:tab w:val="left" w:pos="284"/>
                  </w:tabs>
                  <w:spacing w:after="0" w:line="240" w:lineRule="auto"/>
                  <w:jc w:val="both"/>
                  <w:rPr>
                    <w:rFonts w:ascii="Times New Roman" w:eastAsia="Times New Roman" w:hAnsi="Times New Roman" w:cs="Times New Roman"/>
                    <w:sz w:val="28"/>
                    <w:szCs w:val="28"/>
                    <w:lang w:eastAsia="ru-RU"/>
                  </w:rPr>
                </w:pPr>
                <w:r w:rsidRPr="00E64DDE">
                  <w:rPr>
                    <w:rFonts w:ascii="Times New Roman" w:eastAsia="Times New Roman" w:hAnsi="Times New Roman" w:cs="Times New Roman"/>
                    <w:sz w:val="28"/>
                    <w:szCs w:val="28"/>
                    <w:lang w:eastAsia="ru-RU"/>
                  </w:rPr>
                  <w:t xml:space="preserve">2.1 </w:t>
                </w:r>
                <w:r w:rsidR="00C90D99" w:rsidRPr="00C90D99">
                  <w:rPr>
                    <w:rFonts w:ascii="Times New Roman" w:eastAsia="Times New Roman" w:hAnsi="Times New Roman" w:cs="Times New Roman"/>
                    <w:sz w:val="28"/>
                    <w:szCs w:val="28"/>
                    <w:lang w:eastAsia="ru-RU"/>
                  </w:rPr>
                  <w:t xml:space="preserve">Анализ фактических расходов на пролеченные случаи по Казахстану </w:t>
                </w:r>
                <w:r w:rsidR="00C90D99">
                  <w:rPr>
                    <w:rFonts w:ascii="Times New Roman" w:eastAsia="Times New Roman" w:hAnsi="Times New Roman" w:cs="Times New Roman"/>
                    <w:sz w:val="28"/>
                    <w:szCs w:val="28"/>
                    <w:lang w:eastAsia="ru-RU"/>
                  </w:rPr>
                  <w:t>………….………………………………………………………………………….19</w:t>
                </w:r>
              </w:p>
              <w:p w:rsidR="00196B72" w:rsidRPr="00E64DDE" w:rsidRDefault="00196B72" w:rsidP="00E64DDE">
                <w:pPr>
                  <w:tabs>
                    <w:tab w:val="left" w:pos="284"/>
                  </w:tabs>
                  <w:spacing w:after="0" w:line="240" w:lineRule="auto"/>
                  <w:jc w:val="both"/>
                  <w:rPr>
                    <w:rFonts w:ascii="Times New Roman" w:eastAsia="Times New Roman" w:hAnsi="Times New Roman" w:cs="Times New Roman"/>
                    <w:sz w:val="28"/>
                    <w:szCs w:val="28"/>
                    <w:lang w:eastAsia="ru-RU"/>
                  </w:rPr>
                </w:pPr>
                <w:r w:rsidRPr="00E64DDE">
                  <w:rPr>
                    <w:rFonts w:ascii="Times New Roman" w:eastAsia="Times New Roman" w:hAnsi="Times New Roman" w:cs="Times New Roman"/>
                    <w:sz w:val="28"/>
                    <w:szCs w:val="28"/>
                    <w:lang w:eastAsia="ru-RU"/>
                  </w:rPr>
                  <w:t>2.2 Сравнительный анализ расходов с применением средне взвешенных цен</w:t>
                </w:r>
                <w:r w:rsidR="00C90D99">
                  <w:rPr>
                    <w:rFonts w:ascii="Times New Roman" w:eastAsia="Times New Roman" w:hAnsi="Times New Roman" w:cs="Times New Roman"/>
                    <w:sz w:val="28"/>
                    <w:szCs w:val="28"/>
                    <w:lang w:eastAsia="ru-RU"/>
                  </w:rPr>
                  <w:t>…………………………………………………………………………………21</w:t>
                </w:r>
              </w:p>
              <w:p w:rsidR="00196B72" w:rsidRPr="00E64DDE" w:rsidRDefault="00196B72" w:rsidP="00E64DDE">
                <w:pPr>
                  <w:tabs>
                    <w:tab w:val="left" w:pos="284"/>
                  </w:tabs>
                  <w:spacing w:after="0" w:line="240" w:lineRule="auto"/>
                  <w:jc w:val="both"/>
                  <w:rPr>
                    <w:rFonts w:ascii="Times New Roman" w:eastAsia="Times New Roman" w:hAnsi="Times New Roman" w:cs="Times New Roman"/>
                    <w:sz w:val="28"/>
                    <w:szCs w:val="28"/>
                    <w:lang w:eastAsia="ru-RU"/>
                  </w:rPr>
                </w:pPr>
                <w:r w:rsidRPr="00E64DDE">
                  <w:rPr>
                    <w:rFonts w:ascii="Times New Roman" w:eastAsia="Times New Roman" w:hAnsi="Times New Roman" w:cs="Times New Roman"/>
                    <w:sz w:val="28"/>
                    <w:szCs w:val="28"/>
                    <w:lang w:eastAsia="ru-RU"/>
                  </w:rPr>
                  <w:t>2.3 Анализ расходов на стационар с использованием паритета покупательной способности</w:t>
                </w:r>
                <w:r w:rsidR="00C90D99">
                  <w:rPr>
                    <w:rFonts w:ascii="Times New Roman" w:eastAsia="Times New Roman" w:hAnsi="Times New Roman" w:cs="Times New Roman"/>
                    <w:sz w:val="28"/>
                    <w:szCs w:val="28"/>
                    <w:lang w:eastAsia="ru-RU"/>
                  </w:rPr>
                  <w:t>……………………………………………………………………….30</w:t>
                </w:r>
              </w:p>
              <w:p w:rsidR="00196B72" w:rsidRPr="00E64DDE" w:rsidRDefault="00196B72" w:rsidP="00E64DDE">
                <w:pPr>
                  <w:tabs>
                    <w:tab w:val="left" w:pos="284"/>
                  </w:tabs>
                  <w:spacing w:after="0" w:line="240" w:lineRule="auto"/>
                  <w:jc w:val="both"/>
                  <w:rPr>
                    <w:rFonts w:ascii="Times New Roman" w:eastAsia="Times New Roman" w:hAnsi="Times New Roman" w:cs="Times New Roman"/>
                    <w:sz w:val="28"/>
                    <w:szCs w:val="28"/>
                    <w:lang w:eastAsia="ru-RU"/>
                  </w:rPr>
                </w:pPr>
              </w:p>
              <w:p w:rsidR="00196B72" w:rsidRPr="00E64DDE" w:rsidRDefault="00C90D99" w:rsidP="00E64DDE">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Заключение………………………………………………………………………..35</w:t>
                </w:r>
              </w:p>
              <w:p w:rsidR="00854FBB" w:rsidRDefault="00854FBB" w:rsidP="00E64DDE">
                <w:pPr>
                  <w:tabs>
                    <w:tab w:val="left" w:pos="284"/>
                  </w:tabs>
                  <w:spacing w:after="0" w:line="240" w:lineRule="auto"/>
                  <w:jc w:val="both"/>
                  <w:rPr>
                    <w:rFonts w:ascii="Times New Roman" w:eastAsia="Times New Roman" w:hAnsi="Times New Roman" w:cs="Times New Roman"/>
                    <w:sz w:val="28"/>
                    <w:szCs w:val="28"/>
                    <w:lang w:eastAsia="ru-RU"/>
                  </w:rPr>
                </w:pPr>
              </w:p>
              <w:p w:rsidR="00196B72" w:rsidRPr="00E64DDE" w:rsidRDefault="00854FBB" w:rsidP="00E64DDE">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Использованная литература</w:t>
                </w:r>
                <w:r w:rsidR="00C90D99">
                  <w:rPr>
                    <w:rFonts w:ascii="Times New Roman" w:eastAsia="Times New Roman" w:hAnsi="Times New Roman" w:cs="Times New Roman"/>
                    <w:sz w:val="28"/>
                    <w:szCs w:val="28"/>
                    <w:lang w:eastAsia="ru-RU"/>
                  </w:rPr>
                  <w:t>……………………………………………………..36</w:t>
                </w:r>
              </w:p>
              <w:p w:rsidR="00854FBB" w:rsidRDefault="00854FBB" w:rsidP="00E64DDE">
                <w:pPr>
                  <w:tabs>
                    <w:tab w:val="left" w:pos="284"/>
                  </w:tabs>
                  <w:spacing w:after="0" w:line="240" w:lineRule="auto"/>
                  <w:jc w:val="both"/>
                  <w:rPr>
                    <w:rFonts w:ascii="Times New Roman" w:eastAsia="Times New Roman" w:hAnsi="Times New Roman" w:cs="Times New Roman"/>
                    <w:sz w:val="28"/>
                    <w:szCs w:val="28"/>
                    <w:lang w:eastAsia="ru-RU"/>
                  </w:rPr>
                </w:pPr>
              </w:p>
              <w:p w:rsidR="003151FB" w:rsidRPr="00E64DDE" w:rsidRDefault="003151FB" w:rsidP="00E64DDE">
                <w:pPr>
                  <w:tabs>
                    <w:tab w:val="left" w:pos="284"/>
                  </w:tabs>
                  <w:spacing w:after="0" w:line="240" w:lineRule="auto"/>
                  <w:jc w:val="both"/>
                  <w:rPr>
                    <w:rFonts w:ascii="Times New Roman" w:eastAsia="Times New Roman" w:hAnsi="Times New Roman" w:cs="Times New Roman"/>
                    <w:sz w:val="28"/>
                    <w:szCs w:val="28"/>
                    <w:lang w:eastAsia="ru-RU"/>
                  </w:rPr>
                </w:pPr>
                <w:r w:rsidRPr="00E64DDE">
                  <w:rPr>
                    <w:rFonts w:ascii="Times New Roman" w:eastAsia="Times New Roman" w:hAnsi="Times New Roman" w:cs="Times New Roman"/>
                    <w:sz w:val="28"/>
                    <w:szCs w:val="28"/>
                    <w:lang w:eastAsia="ru-RU"/>
                  </w:rPr>
                  <w:t>Приложен</w:t>
                </w:r>
                <w:r w:rsidR="00C90D99">
                  <w:rPr>
                    <w:rFonts w:ascii="Times New Roman" w:eastAsia="Times New Roman" w:hAnsi="Times New Roman" w:cs="Times New Roman"/>
                    <w:sz w:val="28"/>
                    <w:szCs w:val="28"/>
                    <w:lang w:eastAsia="ru-RU"/>
                  </w:rPr>
                  <w:t>ия……………………………………………………………………….37</w:t>
                </w:r>
              </w:p>
              <w:p w:rsidR="003151FB" w:rsidRPr="00E64DDE" w:rsidRDefault="003151FB" w:rsidP="00E64DDE">
                <w:pPr>
                  <w:tabs>
                    <w:tab w:val="left" w:pos="284"/>
                  </w:tabs>
                  <w:spacing w:after="0" w:line="240" w:lineRule="auto"/>
                  <w:jc w:val="both"/>
                  <w:rPr>
                    <w:rFonts w:ascii="Times New Roman" w:eastAsia="Times New Roman" w:hAnsi="Times New Roman" w:cs="Times New Roman"/>
                    <w:sz w:val="28"/>
                    <w:szCs w:val="28"/>
                    <w:lang w:eastAsia="ru-RU"/>
                  </w:rPr>
                </w:pPr>
              </w:p>
              <w:p w:rsidR="003151FB" w:rsidRPr="00E64DDE" w:rsidRDefault="00EE28AE" w:rsidP="00E64DDE">
                <w:pPr>
                  <w:tabs>
                    <w:tab w:val="left" w:pos="284"/>
                  </w:tabs>
                  <w:spacing w:after="0" w:line="240" w:lineRule="auto"/>
                  <w:jc w:val="both"/>
                  <w:rPr>
                    <w:rFonts w:ascii="Times New Roman" w:eastAsia="Times New Roman" w:hAnsi="Times New Roman" w:cs="Times New Roman"/>
                    <w:sz w:val="28"/>
                    <w:szCs w:val="28"/>
                    <w:lang w:eastAsia="ru-RU"/>
                  </w:rPr>
                </w:pPr>
                <w:r w:rsidRPr="00E64DDE">
                  <w:rPr>
                    <w:rFonts w:ascii="Times New Roman" w:eastAsia="Times New Roman" w:hAnsi="Times New Roman" w:cs="Times New Roman"/>
                    <w:sz w:val="28"/>
                    <w:szCs w:val="28"/>
                    <w:lang w:eastAsia="ru-RU"/>
                  </w:rPr>
                  <w:fldChar w:fldCharType="end"/>
                </w:r>
              </w:p>
            </w:sdtContent>
          </w:sdt>
          <w:p w:rsidR="003151FB" w:rsidRPr="00E64DDE" w:rsidRDefault="003151FB" w:rsidP="004F2F4B">
            <w:pPr>
              <w:tabs>
                <w:tab w:val="left" w:pos="284"/>
              </w:tabs>
              <w:spacing w:after="0" w:line="240" w:lineRule="auto"/>
              <w:rPr>
                <w:rFonts w:ascii="Times New Roman" w:eastAsia="Times New Roman" w:hAnsi="Times New Roman" w:cs="Times New Roman"/>
                <w:sz w:val="28"/>
                <w:szCs w:val="28"/>
                <w:lang w:eastAsia="ru-RU"/>
              </w:rPr>
            </w:pPr>
          </w:p>
        </w:tc>
        <w:tc>
          <w:tcPr>
            <w:tcW w:w="222" w:type="dxa"/>
          </w:tcPr>
          <w:p w:rsidR="003151FB" w:rsidRPr="00D27FA7" w:rsidRDefault="003151FB" w:rsidP="004F2F4B">
            <w:pPr>
              <w:tabs>
                <w:tab w:val="left" w:pos="2130"/>
              </w:tabs>
              <w:rPr>
                <w:rFonts w:ascii="Times New Roman" w:eastAsia="Times New Roman" w:hAnsi="Times New Roman" w:cs="Times New Roman"/>
                <w:sz w:val="28"/>
                <w:szCs w:val="28"/>
                <w:lang w:eastAsia="ru-RU"/>
              </w:rPr>
            </w:pPr>
          </w:p>
          <w:p w:rsidR="003151FB" w:rsidRPr="00D27FA7" w:rsidRDefault="003151FB" w:rsidP="004F2F4B">
            <w:pPr>
              <w:tabs>
                <w:tab w:val="left" w:pos="2130"/>
              </w:tabs>
              <w:rPr>
                <w:rFonts w:ascii="Times New Roman" w:eastAsia="Times New Roman" w:hAnsi="Times New Roman" w:cs="Times New Roman"/>
                <w:sz w:val="28"/>
                <w:szCs w:val="28"/>
                <w:lang w:eastAsia="ru-RU"/>
              </w:rPr>
            </w:pPr>
          </w:p>
        </w:tc>
        <w:tc>
          <w:tcPr>
            <w:tcW w:w="222" w:type="dxa"/>
          </w:tcPr>
          <w:p w:rsidR="003151FB" w:rsidRPr="00D27FA7" w:rsidRDefault="003151FB" w:rsidP="004F2F4B">
            <w:pPr>
              <w:spacing w:after="0" w:line="240" w:lineRule="auto"/>
              <w:rPr>
                <w:rFonts w:ascii="Times New Roman" w:eastAsia="Times New Roman" w:hAnsi="Times New Roman" w:cs="Times New Roman"/>
                <w:sz w:val="28"/>
                <w:szCs w:val="28"/>
                <w:lang w:val="tr-TR" w:eastAsia="ru-RU"/>
              </w:rPr>
            </w:pPr>
          </w:p>
        </w:tc>
      </w:tr>
    </w:tbl>
    <w:p w:rsidR="003151FB" w:rsidRDefault="003151FB" w:rsidP="0073360E">
      <w:pPr>
        <w:spacing w:after="0" w:line="240" w:lineRule="auto"/>
        <w:ind w:firstLine="709"/>
        <w:jc w:val="both"/>
        <w:rPr>
          <w:rFonts w:ascii="Times New Roman" w:hAnsi="Times New Roman" w:cs="Times New Roman"/>
          <w:color w:val="000000" w:themeColor="text1"/>
          <w:sz w:val="28"/>
          <w:szCs w:val="28"/>
        </w:rPr>
      </w:pPr>
    </w:p>
    <w:p w:rsidR="003151FB" w:rsidRDefault="003151FB">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FD4D41" w:rsidRDefault="001215D6">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 xml:space="preserve">Введение </w:t>
      </w:r>
    </w:p>
    <w:p w:rsidR="00C93E3D" w:rsidRPr="00C93E3D" w:rsidRDefault="00C93E3D" w:rsidP="00C93E3D">
      <w:pPr>
        <w:spacing w:after="0" w:line="240" w:lineRule="auto"/>
        <w:ind w:firstLine="709"/>
        <w:jc w:val="both"/>
        <w:rPr>
          <w:rFonts w:ascii="Times New Roman" w:hAnsi="Times New Roman" w:cs="Times New Roman"/>
          <w:color w:val="000000" w:themeColor="text1"/>
          <w:sz w:val="28"/>
          <w:szCs w:val="28"/>
        </w:rPr>
      </w:pPr>
      <w:r w:rsidRPr="00C93E3D">
        <w:rPr>
          <w:rFonts w:ascii="Times New Roman" w:hAnsi="Times New Roman" w:cs="Times New Roman"/>
          <w:color w:val="000000" w:themeColor="text1"/>
          <w:sz w:val="28"/>
          <w:szCs w:val="28"/>
        </w:rPr>
        <w:t>Применение паритета покупательной способности в качестве переводного коэффициента существенно меня</w:t>
      </w:r>
      <w:r>
        <w:rPr>
          <w:rFonts w:ascii="Times New Roman" w:hAnsi="Times New Roman" w:cs="Times New Roman"/>
          <w:color w:val="000000" w:themeColor="text1"/>
          <w:sz w:val="28"/>
          <w:szCs w:val="28"/>
        </w:rPr>
        <w:t>ю</w:t>
      </w:r>
      <w:r w:rsidRPr="00C93E3D">
        <w:rPr>
          <w:rFonts w:ascii="Times New Roman" w:hAnsi="Times New Roman" w:cs="Times New Roman"/>
          <w:color w:val="000000" w:themeColor="text1"/>
          <w:sz w:val="28"/>
          <w:szCs w:val="28"/>
        </w:rPr>
        <w:t>т геоэкономическую картину мира, сближая развитые и развивающиеся страны и повышая удел</w:t>
      </w:r>
      <w:r>
        <w:rPr>
          <w:rFonts w:ascii="Times New Roman" w:hAnsi="Times New Roman" w:cs="Times New Roman"/>
          <w:color w:val="000000" w:themeColor="text1"/>
          <w:sz w:val="28"/>
          <w:szCs w:val="28"/>
        </w:rPr>
        <w:t>ьный вес последних в общемировой торговле</w:t>
      </w:r>
      <w:r w:rsidRPr="00C93E3D">
        <w:rPr>
          <w:rFonts w:ascii="Times New Roman" w:hAnsi="Times New Roman" w:cs="Times New Roman"/>
          <w:color w:val="000000" w:themeColor="text1"/>
          <w:sz w:val="28"/>
          <w:szCs w:val="28"/>
        </w:rPr>
        <w:t>.</w:t>
      </w:r>
    </w:p>
    <w:p w:rsidR="00C93E3D" w:rsidRDefault="00C93E3D" w:rsidP="00C93E3D">
      <w:pPr>
        <w:spacing w:after="0" w:line="240" w:lineRule="auto"/>
        <w:ind w:firstLine="709"/>
        <w:jc w:val="both"/>
        <w:rPr>
          <w:rFonts w:ascii="Times New Roman" w:hAnsi="Times New Roman" w:cs="Times New Roman"/>
          <w:color w:val="000000" w:themeColor="text1"/>
          <w:sz w:val="28"/>
          <w:szCs w:val="28"/>
        </w:rPr>
      </w:pPr>
      <w:r w:rsidRPr="00C93E3D">
        <w:rPr>
          <w:rFonts w:ascii="Times New Roman" w:hAnsi="Times New Roman" w:cs="Times New Roman"/>
          <w:color w:val="000000" w:themeColor="text1"/>
          <w:sz w:val="28"/>
          <w:szCs w:val="28"/>
        </w:rPr>
        <w:t xml:space="preserve">Причины сокращения разрывов в </w:t>
      </w:r>
      <w:r>
        <w:rPr>
          <w:rFonts w:ascii="Times New Roman" w:hAnsi="Times New Roman" w:cs="Times New Roman"/>
          <w:color w:val="000000" w:themeColor="text1"/>
          <w:sz w:val="28"/>
          <w:szCs w:val="28"/>
        </w:rPr>
        <w:t>экономических показателях</w:t>
      </w:r>
      <w:r w:rsidRPr="00C93E3D">
        <w:rPr>
          <w:rFonts w:ascii="Times New Roman" w:hAnsi="Times New Roman" w:cs="Times New Roman"/>
          <w:color w:val="000000" w:themeColor="text1"/>
          <w:sz w:val="28"/>
          <w:szCs w:val="28"/>
        </w:rPr>
        <w:t xml:space="preserve"> между развитыми и развивающимися странами при использовании </w:t>
      </w:r>
      <w:r>
        <w:rPr>
          <w:rFonts w:ascii="Times New Roman" w:hAnsi="Times New Roman" w:cs="Times New Roman"/>
          <w:color w:val="000000" w:themeColor="text1"/>
          <w:sz w:val="28"/>
          <w:szCs w:val="28"/>
        </w:rPr>
        <w:t>паритетов покупательной способности</w:t>
      </w:r>
      <w:r w:rsidRPr="00C93E3D">
        <w:rPr>
          <w:rFonts w:ascii="Times New Roman" w:hAnsi="Times New Roman" w:cs="Times New Roman"/>
          <w:color w:val="000000" w:themeColor="text1"/>
          <w:sz w:val="28"/>
          <w:szCs w:val="28"/>
        </w:rPr>
        <w:t xml:space="preserve"> объясняются, в частности, тем, что паритет покупательной способности элиминируют разницу в ценах, которая имеет место для определенных групп товаров и услуг и является статистическим фактом. </w:t>
      </w:r>
    </w:p>
    <w:p w:rsidR="00C93E3D" w:rsidRDefault="00C93E3D" w:rsidP="00C93E3D">
      <w:pPr>
        <w:spacing w:after="0" w:line="240" w:lineRule="auto"/>
        <w:ind w:firstLine="709"/>
        <w:jc w:val="both"/>
        <w:rPr>
          <w:rFonts w:ascii="Times New Roman" w:hAnsi="Times New Roman" w:cs="Times New Roman"/>
          <w:color w:val="000000" w:themeColor="text1"/>
          <w:sz w:val="28"/>
          <w:szCs w:val="28"/>
        </w:rPr>
      </w:pPr>
      <w:r w:rsidRPr="00C93E3D">
        <w:rPr>
          <w:rFonts w:ascii="Times New Roman" w:hAnsi="Times New Roman" w:cs="Times New Roman"/>
          <w:color w:val="000000" w:themeColor="text1"/>
          <w:sz w:val="28"/>
          <w:szCs w:val="28"/>
        </w:rPr>
        <w:t xml:space="preserve">Таким образом, по сравнению с оценками, сделанными на основании номинальных обменных курсов, паритет покупательной способности, как правило, существенно повышают величину </w:t>
      </w:r>
      <w:r>
        <w:rPr>
          <w:rFonts w:ascii="Times New Roman" w:hAnsi="Times New Roman" w:cs="Times New Roman"/>
          <w:color w:val="000000" w:themeColor="text1"/>
          <w:sz w:val="28"/>
          <w:szCs w:val="28"/>
        </w:rPr>
        <w:t>валового внутреннего продукта</w:t>
      </w:r>
      <w:r w:rsidRPr="00C93E3D">
        <w:rPr>
          <w:rFonts w:ascii="Times New Roman" w:hAnsi="Times New Roman" w:cs="Times New Roman"/>
          <w:color w:val="000000" w:themeColor="text1"/>
          <w:sz w:val="28"/>
          <w:szCs w:val="28"/>
        </w:rPr>
        <w:t xml:space="preserve"> стран с низкими и средними доходами и одновременно несколько понижают значение этого индикатора для государств с высокими доходами. </w:t>
      </w:r>
    </w:p>
    <w:p w:rsidR="00C93E3D" w:rsidRDefault="00C93E3D" w:rsidP="00C93E3D">
      <w:pPr>
        <w:spacing w:after="0" w:line="240" w:lineRule="auto"/>
        <w:ind w:firstLine="709"/>
        <w:jc w:val="both"/>
        <w:rPr>
          <w:rFonts w:ascii="Times New Roman" w:hAnsi="Times New Roman" w:cs="Times New Roman"/>
          <w:color w:val="000000" w:themeColor="text1"/>
          <w:sz w:val="28"/>
          <w:szCs w:val="28"/>
        </w:rPr>
      </w:pPr>
      <w:r w:rsidRPr="00C93E3D">
        <w:rPr>
          <w:rFonts w:ascii="Times New Roman" w:hAnsi="Times New Roman" w:cs="Times New Roman"/>
          <w:color w:val="000000" w:themeColor="text1"/>
          <w:sz w:val="28"/>
          <w:szCs w:val="28"/>
        </w:rPr>
        <w:t xml:space="preserve">Поэтому для развивающихся стран применение паритета покупательной способности валют приобретает особую значимость, помогая получить более реалистичное представление об их удельном весе в мировом </w:t>
      </w:r>
      <w:r>
        <w:rPr>
          <w:rFonts w:ascii="Times New Roman" w:hAnsi="Times New Roman" w:cs="Times New Roman"/>
          <w:color w:val="000000" w:themeColor="text1"/>
          <w:sz w:val="28"/>
          <w:szCs w:val="28"/>
        </w:rPr>
        <w:t>валового внутреннего продукта</w:t>
      </w:r>
      <w:r w:rsidRPr="00C93E3D">
        <w:rPr>
          <w:rFonts w:ascii="Times New Roman" w:hAnsi="Times New Roman" w:cs="Times New Roman"/>
          <w:color w:val="000000" w:themeColor="text1"/>
          <w:sz w:val="28"/>
          <w:szCs w:val="28"/>
        </w:rPr>
        <w:t>, а также при любых экономических сопоставлениях государств, относящихся к двум указанным группам стран.</w:t>
      </w:r>
    </w:p>
    <w:p w:rsidR="00C93E3D" w:rsidRDefault="00C93E3D" w:rsidP="00C93E3D">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Следовательно, применение концепции паритета покупательной способности в качестве инструмента для международного сопоставления уровня расходов в секторе здравоохранения между Казахстаном и странами ОЭСР является предметом данного исследования.</w:t>
      </w:r>
      <w:r w:rsidRPr="00C93E3D">
        <w:rPr>
          <w:rFonts w:ascii="Times New Roman" w:hAnsi="Times New Roman" w:cs="Times New Roman"/>
          <w:b/>
          <w:color w:val="000000" w:themeColor="text1"/>
          <w:sz w:val="28"/>
          <w:szCs w:val="28"/>
        </w:rPr>
        <w:t xml:space="preserve"> </w:t>
      </w:r>
    </w:p>
    <w:p w:rsidR="001215D6" w:rsidRDefault="001215D6" w:rsidP="00C93E3D">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2D35F3" w:rsidRPr="002D35F3" w:rsidRDefault="002D35F3" w:rsidP="0073360E">
      <w:pPr>
        <w:spacing w:after="0" w:line="240" w:lineRule="auto"/>
        <w:ind w:firstLine="709"/>
        <w:jc w:val="both"/>
        <w:rPr>
          <w:rFonts w:ascii="Times New Roman" w:hAnsi="Times New Roman" w:cs="Times New Roman"/>
          <w:b/>
          <w:color w:val="000000" w:themeColor="text1"/>
          <w:sz w:val="28"/>
          <w:szCs w:val="28"/>
        </w:rPr>
      </w:pPr>
      <w:r w:rsidRPr="002D35F3">
        <w:rPr>
          <w:rFonts w:ascii="Times New Roman" w:hAnsi="Times New Roman" w:cs="Times New Roman"/>
          <w:b/>
          <w:color w:val="000000" w:themeColor="text1"/>
          <w:sz w:val="28"/>
          <w:szCs w:val="28"/>
        </w:rPr>
        <w:lastRenderedPageBreak/>
        <w:t>Глава 1. Методологическое сопровождение оценки расходов в здравоохранении с применением паритетов покупательной способности</w:t>
      </w:r>
    </w:p>
    <w:p w:rsidR="002D35F3" w:rsidRDefault="002D35F3" w:rsidP="0073360E">
      <w:pPr>
        <w:spacing w:after="0" w:line="240" w:lineRule="auto"/>
        <w:ind w:firstLine="709"/>
        <w:jc w:val="both"/>
        <w:rPr>
          <w:rFonts w:ascii="Times New Roman" w:hAnsi="Times New Roman" w:cs="Times New Roman"/>
          <w:color w:val="000000" w:themeColor="text1"/>
          <w:sz w:val="28"/>
          <w:szCs w:val="28"/>
        </w:rPr>
      </w:pPr>
    </w:p>
    <w:p w:rsidR="00CC6A64" w:rsidRPr="00A14096" w:rsidRDefault="0044061E"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 xml:space="preserve">В то время как сопоставление расходов по паритету покупательной способности, к примеру, в таблицах по расходам на здравоохранение, формируемых ОЭСР, данные являются </w:t>
      </w:r>
      <w:r w:rsidR="00CC6A64" w:rsidRPr="00A14096">
        <w:rPr>
          <w:rFonts w:ascii="Times New Roman" w:hAnsi="Times New Roman" w:cs="Times New Roman"/>
          <w:color w:val="000000" w:themeColor="text1"/>
          <w:sz w:val="28"/>
          <w:szCs w:val="28"/>
        </w:rPr>
        <w:t>действительными и оцененными (ценными, стоимостными) важно признать, что они</w:t>
      </w:r>
      <w:r w:rsidR="008C3CCA">
        <w:rPr>
          <w:rFonts w:ascii="Times New Roman" w:hAnsi="Times New Roman" w:cs="Times New Roman"/>
          <w:color w:val="000000" w:themeColor="text1"/>
          <w:sz w:val="28"/>
          <w:szCs w:val="28"/>
        </w:rPr>
        <w:t xml:space="preserve"> </w:t>
      </w:r>
      <w:r w:rsidR="00CC6A64" w:rsidRPr="00A14096">
        <w:rPr>
          <w:rFonts w:ascii="Times New Roman" w:hAnsi="Times New Roman" w:cs="Times New Roman"/>
          <w:color w:val="000000" w:themeColor="text1"/>
          <w:sz w:val="28"/>
          <w:szCs w:val="28"/>
        </w:rPr>
        <w:t xml:space="preserve">не являются ни  сравнением </w:t>
      </w:r>
      <w:r w:rsidR="00FF4E93" w:rsidRPr="00A14096">
        <w:rPr>
          <w:rFonts w:ascii="Times New Roman" w:hAnsi="Times New Roman" w:cs="Times New Roman"/>
          <w:color w:val="000000" w:themeColor="text1"/>
          <w:sz w:val="28"/>
          <w:szCs w:val="28"/>
        </w:rPr>
        <w:t>цен,</w:t>
      </w:r>
      <w:r w:rsidR="00CC6A64" w:rsidRPr="00A14096">
        <w:rPr>
          <w:rFonts w:ascii="Times New Roman" w:hAnsi="Times New Roman" w:cs="Times New Roman"/>
          <w:color w:val="000000" w:themeColor="text1"/>
          <w:sz w:val="28"/>
          <w:szCs w:val="28"/>
        </w:rPr>
        <w:t xml:space="preserve">  ни сравнением чистого объема (например, оценки реальной стоимости конечных расходов, полученных в рамках ППС).</w:t>
      </w:r>
      <w:r w:rsidR="008061CA" w:rsidRPr="00A14096">
        <w:rPr>
          <w:rFonts w:ascii="Times New Roman" w:hAnsi="Times New Roman" w:cs="Times New Roman"/>
          <w:color w:val="000000" w:themeColor="text1"/>
          <w:sz w:val="28"/>
          <w:szCs w:val="28"/>
        </w:rPr>
        <w:t xml:space="preserve"> Скорее, они </w:t>
      </w:r>
      <w:r w:rsidR="004A7FDB" w:rsidRPr="00A14096">
        <w:rPr>
          <w:rFonts w:ascii="Times New Roman" w:hAnsi="Times New Roman" w:cs="Times New Roman"/>
          <w:color w:val="000000" w:themeColor="text1"/>
          <w:sz w:val="28"/>
          <w:szCs w:val="28"/>
        </w:rPr>
        <w:t xml:space="preserve">представляют собой </w:t>
      </w:r>
      <w:r w:rsidR="008061CA" w:rsidRPr="00A14096">
        <w:rPr>
          <w:rFonts w:ascii="Times New Roman" w:hAnsi="Times New Roman" w:cs="Times New Roman"/>
          <w:color w:val="000000" w:themeColor="text1"/>
          <w:sz w:val="28"/>
          <w:szCs w:val="28"/>
        </w:rPr>
        <w:t>сочетание сравнения объема соответствующего компонент</w:t>
      </w:r>
      <w:r w:rsidR="007227BC" w:rsidRPr="00A14096">
        <w:rPr>
          <w:rFonts w:ascii="Times New Roman" w:hAnsi="Times New Roman" w:cs="Times New Roman"/>
          <w:color w:val="000000" w:themeColor="text1"/>
          <w:sz w:val="28"/>
          <w:szCs w:val="28"/>
        </w:rPr>
        <w:t xml:space="preserve">а расходов и относительной цены на </w:t>
      </w:r>
      <w:r w:rsidR="008061CA" w:rsidRPr="00A14096">
        <w:rPr>
          <w:rFonts w:ascii="Times New Roman" w:hAnsi="Times New Roman" w:cs="Times New Roman"/>
          <w:color w:val="000000" w:themeColor="text1"/>
          <w:sz w:val="28"/>
          <w:szCs w:val="28"/>
        </w:rPr>
        <w:t>этот компонент расходов.</w:t>
      </w:r>
    </w:p>
    <w:p w:rsidR="00FF4E93" w:rsidRPr="00A14096" w:rsidRDefault="00FF4E93"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Соответствующая сноска к статистической таблице «Деньги» в ОЭСР определяет паритеты покупательной способности как курс конвертации валют, с помощью которого устраняются различия в уровнях цен между странами. Это означает, что на данную</w:t>
      </w:r>
      <w:r w:rsidR="00044B43" w:rsidRPr="00A14096">
        <w:rPr>
          <w:rFonts w:ascii="Times New Roman" w:hAnsi="Times New Roman" w:cs="Times New Roman"/>
          <w:color w:val="000000" w:themeColor="text1"/>
          <w:sz w:val="28"/>
          <w:szCs w:val="28"/>
        </w:rPr>
        <w:t xml:space="preserve"> сумму</w:t>
      </w:r>
      <w:r w:rsidRPr="00A14096">
        <w:rPr>
          <w:rFonts w:ascii="Times New Roman" w:hAnsi="Times New Roman" w:cs="Times New Roman"/>
          <w:color w:val="000000" w:themeColor="text1"/>
          <w:sz w:val="28"/>
          <w:szCs w:val="28"/>
        </w:rPr>
        <w:t xml:space="preserve"> денег при конвертации в разные валюты по этим ставкам будет приобретена одинаковая корзина товаров и услуг в рассматриваемых странах.</w:t>
      </w:r>
    </w:p>
    <w:p w:rsidR="008C3CCA" w:rsidRDefault="00BE5AC1"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Рассмотрим определение паритета покупательной способности</w:t>
      </w:r>
      <w:r w:rsidR="0013736E" w:rsidRPr="00A14096">
        <w:rPr>
          <w:rFonts w:ascii="Times New Roman" w:hAnsi="Times New Roman" w:cs="Times New Roman"/>
          <w:color w:val="000000" w:themeColor="text1"/>
          <w:sz w:val="28"/>
          <w:szCs w:val="28"/>
        </w:rPr>
        <w:t xml:space="preserve">, применяемое в Руководстве ОЭСР. Паритет покупательной способности на самом базовом уровне представляет собой соотношение цен для конкретного товара в двух странах с ценами, выраженными в двух национальных валютах. Такое соотношение рассчитывается путем деления цены определенного количества предмета определенного качества </w:t>
      </w:r>
      <w:r w:rsidR="00691073" w:rsidRPr="00A14096">
        <w:rPr>
          <w:rFonts w:ascii="Times New Roman" w:hAnsi="Times New Roman" w:cs="Times New Roman"/>
          <w:color w:val="000000" w:themeColor="text1"/>
          <w:sz w:val="28"/>
          <w:szCs w:val="28"/>
        </w:rPr>
        <w:t xml:space="preserve">в валюте одной страны к </w:t>
      </w:r>
      <w:r w:rsidR="0013736E" w:rsidRPr="00A14096">
        <w:rPr>
          <w:rFonts w:ascii="Times New Roman" w:hAnsi="Times New Roman" w:cs="Times New Roman"/>
          <w:color w:val="000000" w:themeColor="text1"/>
          <w:sz w:val="28"/>
          <w:szCs w:val="28"/>
        </w:rPr>
        <w:t xml:space="preserve"> цене </w:t>
      </w:r>
      <w:r w:rsidR="00691073" w:rsidRPr="00A14096">
        <w:rPr>
          <w:rFonts w:ascii="Times New Roman" w:hAnsi="Times New Roman" w:cs="Times New Roman"/>
          <w:color w:val="000000" w:themeColor="text1"/>
          <w:sz w:val="28"/>
          <w:szCs w:val="28"/>
        </w:rPr>
        <w:t>аналогичного пункта</w:t>
      </w:r>
      <w:r w:rsidR="00AF04D7">
        <w:rPr>
          <w:rFonts w:ascii="Times New Roman" w:hAnsi="Times New Roman" w:cs="Times New Roman"/>
          <w:color w:val="000000" w:themeColor="text1"/>
          <w:sz w:val="28"/>
          <w:szCs w:val="28"/>
        </w:rPr>
        <w:t xml:space="preserve"> </w:t>
      </w:r>
      <w:r w:rsidR="00691073" w:rsidRPr="00A14096">
        <w:rPr>
          <w:rFonts w:ascii="Times New Roman" w:hAnsi="Times New Roman" w:cs="Times New Roman"/>
          <w:color w:val="000000" w:themeColor="text1"/>
          <w:sz w:val="28"/>
          <w:szCs w:val="28"/>
        </w:rPr>
        <w:t xml:space="preserve">в другой стране, в валюте данной страны. </w:t>
      </w:r>
      <w:r w:rsidR="0013736E" w:rsidRPr="00A14096">
        <w:rPr>
          <w:rFonts w:ascii="Times New Roman" w:hAnsi="Times New Roman" w:cs="Times New Roman"/>
          <w:color w:val="000000" w:themeColor="text1"/>
          <w:sz w:val="28"/>
          <w:szCs w:val="28"/>
        </w:rPr>
        <w:t>Таким образом, покупательная способность различных валют равна</w:t>
      </w:r>
      <w:r w:rsidR="00691073" w:rsidRPr="00A14096">
        <w:rPr>
          <w:rFonts w:ascii="Times New Roman" w:hAnsi="Times New Roman" w:cs="Times New Roman"/>
          <w:color w:val="000000" w:themeColor="text1"/>
          <w:sz w:val="28"/>
          <w:szCs w:val="28"/>
        </w:rPr>
        <w:t xml:space="preserve"> (или имеет паритет) конкретному количеству</w:t>
      </w:r>
      <w:r w:rsidR="0013736E" w:rsidRPr="00A14096">
        <w:rPr>
          <w:rFonts w:ascii="Times New Roman" w:hAnsi="Times New Roman" w:cs="Times New Roman"/>
          <w:color w:val="000000" w:themeColor="text1"/>
          <w:sz w:val="28"/>
          <w:szCs w:val="28"/>
        </w:rPr>
        <w:t xml:space="preserve"> конкретного товара или услуги, которые могут быть приобретены. ППС может быть</w:t>
      </w:r>
      <w:r w:rsidR="00E11AE0" w:rsidRPr="00A14096">
        <w:rPr>
          <w:rFonts w:ascii="Times New Roman" w:hAnsi="Times New Roman" w:cs="Times New Roman"/>
          <w:color w:val="000000" w:themeColor="text1"/>
          <w:sz w:val="28"/>
          <w:szCs w:val="28"/>
        </w:rPr>
        <w:t xml:space="preserve"> определен </w:t>
      </w:r>
      <w:r w:rsidR="0013736E" w:rsidRPr="00A14096">
        <w:rPr>
          <w:rFonts w:ascii="Times New Roman" w:hAnsi="Times New Roman" w:cs="Times New Roman"/>
          <w:color w:val="000000" w:themeColor="text1"/>
          <w:sz w:val="28"/>
          <w:szCs w:val="28"/>
        </w:rPr>
        <w:t xml:space="preserve">таким образом, как </w:t>
      </w:r>
      <w:r w:rsidR="00E11AE0" w:rsidRPr="00A14096">
        <w:rPr>
          <w:rFonts w:ascii="Times New Roman" w:hAnsi="Times New Roman" w:cs="Times New Roman"/>
          <w:color w:val="000000" w:themeColor="text1"/>
          <w:sz w:val="28"/>
          <w:szCs w:val="28"/>
        </w:rPr>
        <w:t>курс конвертации валют, который</w:t>
      </w:r>
      <w:r w:rsidR="0013736E" w:rsidRPr="00A14096">
        <w:rPr>
          <w:rFonts w:ascii="Times New Roman" w:hAnsi="Times New Roman" w:cs="Times New Roman"/>
          <w:color w:val="000000" w:themeColor="text1"/>
          <w:sz w:val="28"/>
          <w:szCs w:val="28"/>
        </w:rPr>
        <w:t xml:space="preserve"> выравнивает покупательную способность</w:t>
      </w:r>
      <w:r w:rsidR="006E6095">
        <w:rPr>
          <w:rFonts w:ascii="Times New Roman" w:hAnsi="Times New Roman" w:cs="Times New Roman"/>
          <w:color w:val="000000" w:themeColor="text1"/>
          <w:sz w:val="28"/>
          <w:szCs w:val="28"/>
        </w:rPr>
        <w:t xml:space="preserve"> </w:t>
      </w:r>
      <w:r w:rsidR="00F14BA4" w:rsidRPr="00A14096">
        <w:rPr>
          <w:rFonts w:ascii="Times New Roman" w:hAnsi="Times New Roman" w:cs="Times New Roman"/>
          <w:color w:val="000000" w:themeColor="text1"/>
          <w:sz w:val="28"/>
          <w:szCs w:val="28"/>
        </w:rPr>
        <w:t>разных валют</w:t>
      </w:r>
      <w:r w:rsidR="0013736E" w:rsidRPr="00A14096">
        <w:rPr>
          <w:rFonts w:ascii="Times New Roman" w:hAnsi="Times New Roman" w:cs="Times New Roman"/>
          <w:color w:val="000000" w:themeColor="text1"/>
          <w:sz w:val="28"/>
          <w:szCs w:val="28"/>
        </w:rPr>
        <w:t xml:space="preserve">. </w:t>
      </w:r>
      <w:r w:rsidR="00F14BA4" w:rsidRPr="00A14096">
        <w:rPr>
          <w:rFonts w:ascii="Times New Roman" w:hAnsi="Times New Roman" w:cs="Times New Roman"/>
          <w:color w:val="000000" w:themeColor="text1"/>
          <w:sz w:val="28"/>
          <w:szCs w:val="28"/>
        </w:rPr>
        <w:t>Эти паритеты также упоминаются как специфичные для продукта  (товара или услуги – прим.авторов) кросс-валютные ценовые индексы.</w:t>
      </w:r>
      <w:r w:rsidR="00405F64" w:rsidRPr="00A14096">
        <w:rPr>
          <w:rFonts w:ascii="Times New Roman" w:hAnsi="Times New Roman" w:cs="Times New Roman"/>
          <w:color w:val="000000" w:themeColor="text1"/>
          <w:sz w:val="28"/>
          <w:szCs w:val="28"/>
        </w:rPr>
        <w:t xml:space="preserve"> На практике, уровни паритетов определяются для отдельных товаров и услуг путем прямого оценивания данных типов товаров и услуг в различных странах в местных валютах.</w:t>
      </w:r>
      <w:r w:rsidR="00EF4BEF" w:rsidRPr="00A14096">
        <w:rPr>
          <w:rFonts w:ascii="Times New Roman" w:hAnsi="Times New Roman" w:cs="Times New Roman"/>
          <w:color w:val="000000" w:themeColor="text1"/>
          <w:sz w:val="28"/>
          <w:szCs w:val="28"/>
        </w:rPr>
        <w:t xml:space="preserve"> Товарные позиции, входящие в оценку берутся усреднено по каждой группе товаров и агрегируют</w:t>
      </w:r>
      <w:r w:rsidR="00D860A8" w:rsidRPr="00A14096">
        <w:rPr>
          <w:rFonts w:ascii="Times New Roman" w:hAnsi="Times New Roman" w:cs="Times New Roman"/>
          <w:color w:val="000000" w:themeColor="text1"/>
          <w:sz w:val="28"/>
          <w:szCs w:val="28"/>
        </w:rPr>
        <w:t>ся.</w:t>
      </w:r>
    </w:p>
    <w:p w:rsidR="00C91826" w:rsidRPr="00A14096" w:rsidRDefault="00C91826"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 xml:space="preserve">Данные национальных счетов, предоставленные ОЭСР для контрольного исследования по ППС в 1993 году, показали, что расходы на медицинское обслуживание и здравоохранение (классификация ПМС, измеренная в номинальной стоимости и конвертированная по текущим обменным курсам) составляют 9,6% от расходов на ВВП для ОЭСР в целом. Эта доля была самой высокой в ​​Соединенных Штатах, на 13,0%, и была относительно низкой в ​​Японии на 6,9%. Очень существенные различия между странами ОЭСР в отношении доли ВВП, выделяемой на здравоохранение, конечно же, являются предметом широкого внимания - как и очевидная слабость взаимосвязи. С одной стороны, соотношением расходов на </w:t>
      </w:r>
      <w:r w:rsidRPr="00A14096">
        <w:rPr>
          <w:rFonts w:ascii="Times New Roman" w:hAnsi="Times New Roman" w:cs="Times New Roman"/>
          <w:color w:val="000000" w:themeColor="text1"/>
          <w:sz w:val="28"/>
          <w:szCs w:val="28"/>
        </w:rPr>
        <w:lastRenderedPageBreak/>
        <w:t>здравоохранение и ВВП и, с другой стороны, большинство из наиболее часто цитируемых показателей результатов в области здравоохранения.</w:t>
      </w:r>
    </w:p>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В то время как отношения расходов к ВВП представляют собой наиболее доступный и наиболее часто цитируемый показатель относительных уровней расходов на здравоохранение в разных странах, программа ППС предусматривает меры, основанные на двух альтернативных подходах.</w:t>
      </w:r>
    </w:p>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Оценки, основанные на первом из этих подходов, получены путем преобразования расходов на здравоохранение в единицах национальной валюты в реальные ценности с использованием ППС, характерных для таких расходов, и публикуются для контрольных лет в публикациях, озаглавленных «Паритеты покупательной способности и реальные расходы». ППС, характерные для здоровья, не являются результатом сбора основных цен для целей ППС, а подлежат специальным расследованиям, проводимым один раз в три года. Цены, представленные странами для медицинских товаров (включая фармацевтические препараты) и медицинские услуги - это рыночные цены или квазирыночные цены (то есть цена, которую потребитель должен был бы заплатить, если бы продукты не были субсидированы). Они получены от правительства или квазигосударственных органов, ответственных за оценку таких товаров и услуг. Полученные таким образом национальные цены скорректированы с учетом среднегодовых цен в течение ориентировочного года Евростатом или ОЭСР с использованием временных показателей, предоставленных странами для этой цели.</w:t>
      </w:r>
    </w:p>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 xml:space="preserve">Оценки, основанные на втором подходе, получены путем преобразования расходов на здравоохранение, измеренных в единицах национальной валюты, в ППС $, с использованием ППС для общего ВВП каждой страны. </w:t>
      </w:r>
    </w:p>
    <w:p w:rsidR="008C3CCA" w:rsidRDefault="00C91826"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Оценки по обеим базам из контрольного исследования 1993 года с использованием методов агрегации EKS и GK показ</w:t>
      </w:r>
      <w:r w:rsidR="008C3CCA">
        <w:rPr>
          <w:rFonts w:ascii="Times New Roman" w:hAnsi="Times New Roman" w:cs="Times New Roman"/>
          <w:color w:val="000000" w:themeColor="text1"/>
          <w:sz w:val="28"/>
          <w:szCs w:val="28"/>
        </w:rPr>
        <w:t>аны для США и Японии в таблице 1</w:t>
      </w:r>
      <w:r w:rsidRPr="00A14096">
        <w:rPr>
          <w:rFonts w:ascii="Times New Roman" w:hAnsi="Times New Roman" w:cs="Times New Roman"/>
          <w:color w:val="000000" w:themeColor="text1"/>
          <w:sz w:val="28"/>
          <w:szCs w:val="28"/>
        </w:rPr>
        <w:t>. Для сравнения также показаны номинальные значения на основе конверсии с обменным курсом. Все сравнения выражены в расчете на душу населения:</w:t>
      </w:r>
    </w:p>
    <w:p w:rsidR="00C91826" w:rsidRPr="008C3CCA" w:rsidRDefault="00A940B5" w:rsidP="008C3CCA">
      <w:pPr>
        <w:spacing w:after="0" w:line="240" w:lineRule="auto"/>
        <w:ind w:firstLine="709"/>
        <w:jc w:val="both"/>
        <w:rPr>
          <w:rFonts w:ascii="Times New Roman" w:hAnsi="Times New Roman" w:cs="Times New Roman"/>
          <w:color w:val="000000" w:themeColor="text1"/>
          <w:sz w:val="28"/>
          <w:szCs w:val="28"/>
        </w:rPr>
      </w:pPr>
      <w:r w:rsidRPr="002D35F3">
        <w:rPr>
          <w:rFonts w:ascii="Times New Roman" w:hAnsi="Times New Roman" w:cs="Times New Roman"/>
          <w:b/>
          <w:color w:val="000000" w:themeColor="text1"/>
          <w:sz w:val="28"/>
          <w:szCs w:val="28"/>
        </w:rPr>
        <w:t>Таблица 1</w:t>
      </w:r>
      <w:r w:rsidR="00C91826" w:rsidRPr="002D35F3">
        <w:rPr>
          <w:rFonts w:ascii="Times New Roman" w:hAnsi="Times New Roman" w:cs="Times New Roman"/>
          <w:b/>
          <w:color w:val="000000" w:themeColor="text1"/>
          <w:sz w:val="28"/>
          <w:szCs w:val="28"/>
        </w:rPr>
        <w:t>. Япония и Соединенные Штаты: расходы на душу населения на медицинское обслуживание и здравоохранение (классификация ПМС) 1993 г., различные основы</w:t>
      </w:r>
    </w:p>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p>
    <w:tbl>
      <w:tblPr>
        <w:tblStyle w:val="a3"/>
        <w:tblW w:w="0" w:type="auto"/>
        <w:tblLook w:val="04A0" w:firstRow="1" w:lastRow="0" w:firstColumn="1" w:lastColumn="0" w:noHBand="0" w:noVBand="1"/>
      </w:tblPr>
      <w:tblGrid>
        <w:gridCol w:w="2337"/>
        <w:gridCol w:w="2336"/>
        <w:gridCol w:w="2336"/>
        <w:gridCol w:w="2336"/>
      </w:tblGrid>
      <w:tr w:rsidR="00C91826" w:rsidRPr="008C3CCA" w:rsidTr="004F2F4B">
        <w:tc>
          <w:tcPr>
            <w:tcW w:w="2337" w:type="dxa"/>
          </w:tcPr>
          <w:p w:rsidR="00C91826" w:rsidRPr="008C3CCA" w:rsidRDefault="00C91826" w:rsidP="0073360E">
            <w:pPr>
              <w:ind w:firstLine="709"/>
              <w:jc w:val="both"/>
              <w:rPr>
                <w:rFonts w:ascii="Times New Roman" w:hAnsi="Times New Roman" w:cs="Times New Roman"/>
                <w:color w:val="000000" w:themeColor="text1"/>
                <w:sz w:val="20"/>
                <w:szCs w:val="20"/>
              </w:rPr>
            </w:pP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Япония</w:t>
            </w: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США</w:t>
            </w: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США как индекс</w:t>
            </w:r>
          </w:p>
        </w:tc>
      </w:tr>
      <w:tr w:rsidR="00C91826" w:rsidRPr="008C3CCA" w:rsidTr="004F2F4B">
        <w:tc>
          <w:tcPr>
            <w:tcW w:w="2337" w:type="dxa"/>
          </w:tcPr>
          <w:p w:rsidR="00C91826" w:rsidRPr="008C3CCA" w:rsidRDefault="00C91826" w:rsidP="0073360E">
            <w:pPr>
              <w:ind w:firstLine="709"/>
              <w:jc w:val="both"/>
              <w:rPr>
                <w:rFonts w:ascii="Times New Roman" w:hAnsi="Times New Roman" w:cs="Times New Roman"/>
                <w:color w:val="000000" w:themeColor="text1"/>
                <w:sz w:val="20"/>
                <w:szCs w:val="20"/>
              </w:rPr>
            </w:pP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$США</w:t>
            </w: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$США</w:t>
            </w: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Япония = 100</w:t>
            </w:r>
          </w:p>
        </w:tc>
      </w:tr>
      <w:tr w:rsidR="00C91826" w:rsidRPr="008C3CCA" w:rsidTr="004F2F4B">
        <w:tc>
          <w:tcPr>
            <w:tcW w:w="2337" w:type="dxa"/>
          </w:tcPr>
          <w:p w:rsidR="00C91826" w:rsidRPr="008C3CCA" w:rsidRDefault="00C91826" w:rsidP="002D35F3">
            <w:pPr>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Номинальный (конвертированный по текущему обменному курсу</w:t>
            </w: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2D35F3">
            <w:pPr>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Реальные расходы по международным ценам:</w:t>
            </w:r>
          </w:p>
          <w:p w:rsidR="00C91826" w:rsidRPr="008C3CCA" w:rsidRDefault="00C91826" w:rsidP="002D35F3">
            <w:pPr>
              <w:jc w:val="both"/>
              <w:rPr>
                <w:rFonts w:ascii="Times New Roman" w:hAnsi="Times New Roman" w:cs="Times New Roman"/>
                <w:color w:val="000000" w:themeColor="text1"/>
                <w:sz w:val="20"/>
                <w:szCs w:val="20"/>
                <w:lang w:val="en-US"/>
              </w:rPr>
            </w:pPr>
            <w:r w:rsidRPr="008C3CCA">
              <w:rPr>
                <w:rFonts w:ascii="Times New Roman" w:hAnsi="Times New Roman" w:cs="Times New Roman"/>
                <w:color w:val="000000" w:themeColor="text1"/>
                <w:sz w:val="20"/>
                <w:szCs w:val="20"/>
                <w:lang w:val="en-US"/>
              </w:rPr>
              <w:t>EKS method:</w:t>
            </w:r>
          </w:p>
          <w:p w:rsidR="00C91826" w:rsidRPr="008C3CCA" w:rsidRDefault="00C91826" w:rsidP="002D35F3">
            <w:pPr>
              <w:jc w:val="both"/>
              <w:rPr>
                <w:rFonts w:ascii="Times New Roman" w:hAnsi="Times New Roman" w:cs="Times New Roman"/>
                <w:color w:val="000000" w:themeColor="text1"/>
                <w:sz w:val="20"/>
                <w:szCs w:val="20"/>
                <w:lang w:val="en-US"/>
              </w:rPr>
            </w:pPr>
            <w:r w:rsidRPr="008C3CCA">
              <w:rPr>
                <w:rFonts w:ascii="Times New Roman" w:hAnsi="Times New Roman" w:cs="Times New Roman"/>
                <w:color w:val="000000" w:themeColor="text1"/>
                <w:sz w:val="20"/>
                <w:szCs w:val="20"/>
                <w:lang w:val="en-US"/>
              </w:rPr>
              <w:t>GK method:</w:t>
            </w:r>
          </w:p>
          <w:p w:rsidR="00C91826" w:rsidRPr="008C3CCA" w:rsidRDefault="00C91826" w:rsidP="0073360E">
            <w:pPr>
              <w:ind w:firstLine="709"/>
              <w:jc w:val="both"/>
              <w:rPr>
                <w:rFonts w:ascii="Times New Roman" w:hAnsi="Times New Roman" w:cs="Times New Roman"/>
                <w:color w:val="000000" w:themeColor="text1"/>
                <w:sz w:val="20"/>
                <w:szCs w:val="20"/>
                <w:lang w:val="en-US"/>
              </w:rPr>
            </w:pPr>
          </w:p>
          <w:p w:rsidR="00C91826" w:rsidRPr="008C3CCA" w:rsidRDefault="00C91826" w:rsidP="002D35F3">
            <w:pPr>
              <w:jc w:val="both"/>
              <w:rPr>
                <w:rFonts w:ascii="Times New Roman" w:hAnsi="Times New Roman" w:cs="Times New Roman"/>
                <w:color w:val="000000" w:themeColor="text1"/>
                <w:sz w:val="20"/>
                <w:szCs w:val="20"/>
                <w:lang w:val="en-US"/>
              </w:rPr>
            </w:pPr>
            <w:r w:rsidRPr="008C3CCA">
              <w:rPr>
                <w:rFonts w:ascii="Times New Roman" w:hAnsi="Times New Roman" w:cs="Times New Roman"/>
                <w:color w:val="000000" w:themeColor="text1"/>
                <w:sz w:val="20"/>
                <w:szCs w:val="20"/>
                <w:lang w:val="en-US"/>
              </w:rPr>
              <w:t xml:space="preserve">Расходы в PPP $: </w:t>
            </w:r>
          </w:p>
          <w:p w:rsidR="00C91826" w:rsidRPr="008C3CCA" w:rsidRDefault="00C91826" w:rsidP="002D35F3">
            <w:pPr>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lang w:val="en-US"/>
              </w:rPr>
              <w:t xml:space="preserve">EKS </w:t>
            </w:r>
            <w:r w:rsidRPr="008C3CCA">
              <w:rPr>
                <w:rFonts w:ascii="Times New Roman" w:hAnsi="Times New Roman" w:cs="Times New Roman"/>
                <w:color w:val="000000" w:themeColor="text1"/>
                <w:sz w:val="20"/>
                <w:szCs w:val="20"/>
              </w:rPr>
              <w:t>метод</w:t>
            </w:r>
          </w:p>
          <w:p w:rsidR="00C91826" w:rsidRPr="008C3CCA" w:rsidRDefault="00C91826" w:rsidP="002D35F3">
            <w:pPr>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lang w:val="en-US"/>
              </w:rPr>
              <w:t xml:space="preserve">GK </w:t>
            </w:r>
            <w:r w:rsidRPr="008C3CCA">
              <w:rPr>
                <w:rFonts w:ascii="Times New Roman" w:hAnsi="Times New Roman" w:cs="Times New Roman"/>
                <w:color w:val="000000" w:themeColor="text1"/>
                <w:sz w:val="20"/>
                <w:szCs w:val="20"/>
              </w:rPr>
              <w:t>метод</w:t>
            </w: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2329</w:t>
            </w: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2673</w:t>
            </w: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lastRenderedPageBreak/>
              <w:t>2718</w:t>
            </w: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1587</w:t>
            </w: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1666</w:t>
            </w: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3154</w:t>
            </w: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2322</w:t>
            </w: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lastRenderedPageBreak/>
              <w:t>2392</w:t>
            </w: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3561</w:t>
            </w: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3460</w:t>
            </w:r>
          </w:p>
        </w:tc>
        <w:tc>
          <w:tcPr>
            <w:tcW w:w="2336" w:type="dxa"/>
          </w:tcPr>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135,4</w:t>
            </w: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86,9</w:t>
            </w: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lastRenderedPageBreak/>
              <w:t>88,0</w:t>
            </w: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224,5</w:t>
            </w:r>
          </w:p>
          <w:p w:rsidR="00C91826" w:rsidRPr="008C3CCA" w:rsidRDefault="00C91826" w:rsidP="0073360E">
            <w:pPr>
              <w:ind w:firstLine="709"/>
              <w:jc w:val="both"/>
              <w:rPr>
                <w:rFonts w:ascii="Times New Roman" w:hAnsi="Times New Roman" w:cs="Times New Roman"/>
                <w:color w:val="000000" w:themeColor="text1"/>
                <w:sz w:val="20"/>
                <w:szCs w:val="20"/>
              </w:rPr>
            </w:pPr>
            <w:r w:rsidRPr="008C3CCA">
              <w:rPr>
                <w:rFonts w:ascii="Times New Roman" w:hAnsi="Times New Roman" w:cs="Times New Roman"/>
                <w:color w:val="000000" w:themeColor="text1"/>
                <w:sz w:val="20"/>
                <w:szCs w:val="20"/>
              </w:rPr>
              <w:t>207,6</w:t>
            </w:r>
          </w:p>
        </w:tc>
      </w:tr>
    </w:tbl>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p>
    <w:p w:rsidR="00C91826" w:rsidRPr="00A14096" w:rsidRDefault="00C91826" w:rsidP="008C3CCA">
      <w:pPr>
        <w:spacing w:after="0" w:line="240" w:lineRule="auto"/>
        <w:rPr>
          <w:rFonts w:ascii="Times New Roman" w:hAnsi="Times New Roman" w:cs="Times New Roman"/>
          <w:i/>
          <w:color w:val="000000" w:themeColor="text1"/>
          <w:sz w:val="28"/>
          <w:szCs w:val="28"/>
        </w:rPr>
      </w:pPr>
      <w:r w:rsidRPr="00A14096">
        <w:rPr>
          <w:rFonts w:ascii="Times New Roman" w:hAnsi="Times New Roman" w:cs="Times New Roman"/>
          <w:i/>
          <w:color w:val="000000" w:themeColor="text1"/>
          <w:sz w:val="28"/>
          <w:szCs w:val="28"/>
        </w:rPr>
        <w:t>Источники: полученные из ОЭСР, паритеты покупательной способности и реальные расходы: результаты EKS Том I, 1993: таблицы 1.3, 1.8 и 3.1; и ОЭСР, паритеты покуп</w:t>
      </w:r>
      <w:r w:rsidR="008C3CCA">
        <w:rPr>
          <w:rFonts w:ascii="Times New Roman" w:hAnsi="Times New Roman" w:cs="Times New Roman"/>
          <w:i/>
          <w:color w:val="000000" w:themeColor="text1"/>
          <w:sz w:val="28"/>
          <w:szCs w:val="28"/>
        </w:rPr>
        <w:t xml:space="preserve">ательной способности и реальные </w:t>
      </w:r>
      <w:r w:rsidRPr="00A14096">
        <w:rPr>
          <w:rFonts w:ascii="Times New Roman" w:hAnsi="Times New Roman" w:cs="Times New Roman"/>
          <w:i/>
          <w:color w:val="000000" w:themeColor="text1"/>
          <w:sz w:val="28"/>
          <w:szCs w:val="28"/>
        </w:rPr>
        <w:t>расходы: результаты ГК, том II, 1993 год: таблица 1.4.</w:t>
      </w:r>
    </w:p>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Хотя все цифры в таблице взяты из публикаций ОЭСР, в которых сообщается о результатах базового исследования по ППС 1993 года, показатели расходов на ППС достаточно близки к соответствующим оценкам, указанным в таблице «Здоровье I» в ОЭСР в цифрах 1996 года (см. США, 3498 ППС на душу населения и Япония, 1484 ППС на душу населения).</w:t>
      </w:r>
    </w:p>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Примечательной особенностью таблицы является огромная разница - в соотношении порядка 2,5: 1 - между сравнениями на основе реальных расходов (т.е. с использованием ППС, характерных для расходов на здравоохранение в двух странах) и расходов в ППС $ (т.е. с использованием ППС для общего ВВП двух стран). Публикации здравоохранения используют последнюю основу по рекомендации Директората статистики из-за неопределенности обоснованности сопоставлений объемов, полученных в результате ППС, характерных для расходов на здравоохранение.</w:t>
      </w:r>
    </w:p>
    <w:p w:rsidR="00C91826" w:rsidRPr="00A14096" w:rsidRDefault="00C91826"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Эти сомнения оправданы. Трудность получения ППС, характерная для расходов на здравоохранение, отражает двусмысленность в определении товаров, которые являются предметом этих расходов, а также в измерении и оценке объема таких товаров, которые являются предметом конечных расходов. Например, с трудом могут быть установлены средние цены на койко-место или цены в разных странах с определенным качеством стационарной помощи в больницах с указанными медицинскими учреждениями; но релевантность данных будет зависеть от целого ряда других факторов, которые могут различаться между странами - например, при каких обстоятельствах госпитализация рассматривается как необходимая и для какого периода? какова роль амбулаторного лечения и ухода на дому? и являются ли методы профилактического ухода, уменьшающие заболеваемость и, следовательно, необходимость какого-либо лечения, интенсивного или иного?</w:t>
      </w:r>
    </w:p>
    <w:p w:rsidR="004358BF" w:rsidRPr="008C3CCA" w:rsidRDefault="00C91826"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 xml:space="preserve">Сомнительно, может ли адекватная оценка реальных расходов на здравоохранение путем уточнения или расширения диапазона информации, собираемой для целей ППС, Директората статистики. На самом деле можно утверждать, что перспектива получения таких мер зависит от потока информации в обратном направлении: то есть, чтобы аналитики в области медицины и здравоохранения могли определить показатели выхода или результатов в этой области, которые были разработаны для политических целей (в том числе для финансирования программ здравоохранения), но </w:t>
      </w:r>
      <w:r w:rsidRPr="00A14096">
        <w:rPr>
          <w:rFonts w:ascii="Times New Roman" w:hAnsi="Times New Roman" w:cs="Times New Roman"/>
          <w:color w:val="000000" w:themeColor="text1"/>
          <w:sz w:val="28"/>
          <w:szCs w:val="28"/>
        </w:rPr>
        <w:lastRenderedPageBreak/>
        <w:t>которые были бы подходящими в качестве мер объема в рамках программы ППС.</w:t>
      </w:r>
    </w:p>
    <w:p w:rsidR="004358BF" w:rsidRPr="00A14096" w:rsidRDefault="008C3CCA"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b/>
          <w:color w:val="000000" w:themeColor="text1"/>
          <w:sz w:val="28"/>
          <w:szCs w:val="28"/>
        </w:rPr>
        <w:t>Методы оценки ППС в секторе здравоохранения</w:t>
      </w:r>
      <w:r>
        <w:rPr>
          <w:rFonts w:ascii="Times New Roman" w:hAnsi="Times New Roman" w:cs="Times New Roman"/>
          <w:color w:val="000000" w:themeColor="text1"/>
          <w:sz w:val="28"/>
          <w:szCs w:val="28"/>
        </w:rPr>
        <w:t xml:space="preserve">. </w:t>
      </w:r>
      <w:r w:rsidR="004358BF" w:rsidRPr="00A14096">
        <w:rPr>
          <w:rFonts w:ascii="Times New Roman" w:hAnsi="Times New Roman" w:cs="Times New Roman"/>
          <w:color w:val="000000" w:themeColor="text1"/>
          <w:sz w:val="28"/>
          <w:szCs w:val="28"/>
        </w:rPr>
        <w:t xml:space="preserve">Расходы на здравоохранение составляют значительную долю ВВП в государствах-членах ЕС и ОЭСР. Правительства стран – представителей </w:t>
      </w:r>
      <w:r w:rsidR="00FB213B" w:rsidRPr="00A14096">
        <w:rPr>
          <w:rFonts w:ascii="Times New Roman" w:hAnsi="Times New Roman" w:cs="Times New Roman"/>
          <w:color w:val="000000" w:themeColor="text1"/>
          <w:sz w:val="28"/>
          <w:szCs w:val="28"/>
        </w:rPr>
        <w:t xml:space="preserve">ЕС и ОЭСР, как поставщики медицинских услуг, и домашние хозяйства, как конечные получатели услуг, заинтересованы </w:t>
      </w:r>
      <w:r w:rsidR="006B1098" w:rsidRPr="00A14096">
        <w:rPr>
          <w:rFonts w:ascii="Times New Roman" w:hAnsi="Times New Roman" w:cs="Times New Roman"/>
          <w:color w:val="000000" w:themeColor="text1"/>
          <w:sz w:val="28"/>
          <w:szCs w:val="28"/>
        </w:rPr>
        <w:t xml:space="preserve">в </w:t>
      </w:r>
      <w:r w:rsidR="00FB213B" w:rsidRPr="00A14096">
        <w:rPr>
          <w:rFonts w:ascii="Times New Roman" w:hAnsi="Times New Roman" w:cs="Times New Roman"/>
          <w:color w:val="000000" w:themeColor="text1"/>
          <w:sz w:val="28"/>
          <w:szCs w:val="28"/>
        </w:rPr>
        <w:t>знании различий в расходах между странами</w:t>
      </w:r>
      <w:r w:rsidR="006B1098" w:rsidRPr="00A14096">
        <w:rPr>
          <w:rFonts w:ascii="Times New Roman" w:hAnsi="Times New Roman" w:cs="Times New Roman"/>
          <w:color w:val="000000" w:themeColor="text1"/>
          <w:sz w:val="28"/>
          <w:szCs w:val="28"/>
        </w:rPr>
        <w:t xml:space="preserve">, отражающих различия в потребляемом объеме медицинских услуг либо различия в уровнях цен на медицинские услуги. Международное сопоставление цен и объемов медицинских услуг, проведенное странами, </w:t>
      </w:r>
      <w:r w:rsidR="005E2190" w:rsidRPr="00A14096">
        <w:rPr>
          <w:rFonts w:ascii="Times New Roman" w:hAnsi="Times New Roman" w:cs="Times New Roman"/>
          <w:color w:val="000000" w:themeColor="text1"/>
          <w:sz w:val="28"/>
          <w:szCs w:val="28"/>
        </w:rPr>
        <w:t>подразумевает оценку</w:t>
      </w:r>
      <w:r w:rsidR="006B1098" w:rsidRPr="00A14096">
        <w:rPr>
          <w:rFonts w:ascii="Times New Roman" w:hAnsi="Times New Roman" w:cs="Times New Roman"/>
          <w:color w:val="000000" w:themeColor="text1"/>
          <w:sz w:val="28"/>
          <w:szCs w:val="28"/>
        </w:rPr>
        <w:t xml:space="preserve"> доступ</w:t>
      </w:r>
      <w:r w:rsidR="005E2190" w:rsidRPr="00A14096">
        <w:rPr>
          <w:rFonts w:ascii="Times New Roman" w:hAnsi="Times New Roman" w:cs="Times New Roman"/>
          <w:color w:val="000000" w:themeColor="text1"/>
          <w:sz w:val="28"/>
          <w:szCs w:val="28"/>
        </w:rPr>
        <w:t>а</w:t>
      </w:r>
      <w:r w:rsidR="006B1098" w:rsidRPr="00A14096">
        <w:rPr>
          <w:rFonts w:ascii="Times New Roman" w:hAnsi="Times New Roman" w:cs="Times New Roman"/>
          <w:color w:val="000000" w:themeColor="text1"/>
          <w:sz w:val="28"/>
          <w:szCs w:val="28"/>
        </w:rPr>
        <w:t xml:space="preserve"> к их национальным системам здравоохранения.</w:t>
      </w:r>
      <w:r w:rsidR="005E2190" w:rsidRPr="00A14096">
        <w:rPr>
          <w:rFonts w:ascii="Times New Roman" w:hAnsi="Times New Roman" w:cs="Times New Roman"/>
          <w:color w:val="000000" w:themeColor="text1"/>
          <w:sz w:val="28"/>
          <w:szCs w:val="28"/>
        </w:rPr>
        <w:t xml:space="preserve"> На практике</w:t>
      </w:r>
      <w:r w:rsidR="00DA323E" w:rsidRPr="00A14096">
        <w:rPr>
          <w:rFonts w:ascii="Times New Roman" w:hAnsi="Times New Roman" w:cs="Times New Roman"/>
          <w:color w:val="000000" w:themeColor="text1"/>
          <w:sz w:val="28"/>
          <w:szCs w:val="28"/>
        </w:rPr>
        <w:t xml:space="preserve"> международное сопоставление расходов на здравоохранение затруднительно, так как медицинские услуги сравниваются с институциональными механизмами их предоставления и оплаты в разных странах</w:t>
      </w:r>
      <w:r w:rsidR="005E2190" w:rsidRPr="00A14096">
        <w:rPr>
          <w:rFonts w:ascii="Times New Roman" w:hAnsi="Times New Roman" w:cs="Times New Roman"/>
          <w:color w:val="000000" w:themeColor="text1"/>
          <w:sz w:val="28"/>
          <w:szCs w:val="28"/>
        </w:rPr>
        <w:t>.</w:t>
      </w:r>
    </w:p>
    <w:p w:rsidR="004358BF" w:rsidRPr="00A14096" w:rsidRDefault="00DA323E"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К вопросу об ограничениях в оценке нужно отметить, что м</w:t>
      </w:r>
      <w:r w:rsidR="004358BF" w:rsidRPr="00A14096">
        <w:rPr>
          <w:rFonts w:ascii="Times New Roman" w:hAnsi="Times New Roman" w:cs="Times New Roman"/>
          <w:color w:val="000000" w:themeColor="text1"/>
          <w:sz w:val="28"/>
          <w:szCs w:val="28"/>
        </w:rPr>
        <w:t xml:space="preserve">едицинские товары и услуги могут предоставляться производителями </w:t>
      </w:r>
      <w:r w:rsidRPr="00A14096">
        <w:rPr>
          <w:rFonts w:ascii="Times New Roman" w:hAnsi="Times New Roman" w:cs="Times New Roman"/>
          <w:color w:val="000000" w:themeColor="text1"/>
          <w:sz w:val="28"/>
          <w:szCs w:val="28"/>
        </w:rPr>
        <w:t xml:space="preserve">по экономически значимым (обоснованным) ценам, кроме того, </w:t>
      </w:r>
      <w:r w:rsidR="004358BF" w:rsidRPr="00A14096">
        <w:rPr>
          <w:rFonts w:ascii="Times New Roman" w:hAnsi="Times New Roman" w:cs="Times New Roman"/>
          <w:color w:val="000000" w:themeColor="text1"/>
          <w:sz w:val="28"/>
          <w:szCs w:val="28"/>
        </w:rPr>
        <w:t>они могут также предоставляться нерыночными производителями по ценам, которые не являются</w:t>
      </w:r>
    </w:p>
    <w:p w:rsidR="004358BF" w:rsidRPr="00A14096" w:rsidRDefault="004358BF" w:rsidP="0073360E">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 xml:space="preserve">экономически значимым. </w:t>
      </w:r>
      <w:r w:rsidR="008C2BC5" w:rsidRPr="00A14096">
        <w:rPr>
          <w:rFonts w:ascii="Times New Roman" w:hAnsi="Times New Roman" w:cs="Times New Roman"/>
          <w:color w:val="000000" w:themeColor="text1"/>
          <w:sz w:val="28"/>
          <w:szCs w:val="28"/>
        </w:rPr>
        <w:t xml:space="preserve">Пациенты в свою очередь могут быть как частными, так и социально уязвимыми, что сказывается на различиях, в цене оказываемых им услуг у одних и тех же поставщиков. Фармацевтическая продукция так же может быть представлена как брендами, так и товарами широкого использования, что тоже не отражается и соответствующей им цене. </w:t>
      </w:r>
      <w:r w:rsidR="00BC070D" w:rsidRPr="00A14096">
        <w:rPr>
          <w:rFonts w:ascii="Times New Roman" w:hAnsi="Times New Roman" w:cs="Times New Roman"/>
          <w:color w:val="000000" w:themeColor="text1"/>
          <w:sz w:val="28"/>
          <w:szCs w:val="28"/>
        </w:rPr>
        <w:t>Н</w:t>
      </w:r>
      <w:r w:rsidR="008C2BC5" w:rsidRPr="00A14096">
        <w:rPr>
          <w:rFonts w:ascii="Times New Roman" w:hAnsi="Times New Roman" w:cs="Times New Roman"/>
          <w:color w:val="000000" w:themeColor="text1"/>
          <w:sz w:val="28"/>
          <w:szCs w:val="28"/>
        </w:rPr>
        <w:t xml:space="preserve">е смотря на то, что реализация медицинского товара или услуги – это сделка между покупателем и продавцом, существуют также сделки, при которых имеется ряд покупателей, каждый из которых оплачивает часть стоимости сделки (часть цены). И наконец, имеет место серьезный вопрос относительно того, оказывают ли поставщики медицинских услуг в разных странах услуги сопоставимого качества. </w:t>
      </w:r>
    </w:p>
    <w:p w:rsidR="008C3CCA" w:rsidRDefault="00AC0923"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Далее, будут рассмотрены методологические вопросы сопоставления расходов на здравоохранение Евростатом и ОЭСР, а также новая методика оценки уровня расходов, внедряемая Евростатом для больничных служб.</w:t>
      </w:r>
    </w:p>
    <w:p w:rsidR="0001320F" w:rsidRPr="008C3CCA" w:rsidRDefault="008C3CCA"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b/>
          <w:color w:val="000000" w:themeColor="text1"/>
          <w:sz w:val="28"/>
          <w:szCs w:val="28"/>
        </w:rPr>
        <w:t>Классификация расходов на здравоохранение</w:t>
      </w:r>
      <w:r>
        <w:rPr>
          <w:rFonts w:ascii="Times New Roman" w:hAnsi="Times New Roman" w:cs="Times New Roman"/>
          <w:b/>
          <w:color w:val="000000" w:themeColor="text1"/>
          <w:sz w:val="28"/>
          <w:szCs w:val="28"/>
        </w:rPr>
        <w:t xml:space="preserve">. </w:t>
      </w:r>
      <w:r w:rsidR="00574720" w:rsidRPr="00A14096">
        <w:rPr>
          <w:rFonts w:ascii="Times New Roman" w:hAnsi="Times New Roman" w:cs="Times New Roman"/>
          <w:color w:val="000000" w:themeColor="text1"/>
          <w:sz w:val="28"/>
          <w:szCs w:val="28"/>
        </w:rPr>
        <w:t xml:space="preserve">В классификации расходов Евростата, ОЭСР расходы на </w:t>
      </w:r>
      <w:r w:rsidR="00843E7C" w:rsidRPr="00A14096">
        <w:rPr>
          <w:rFonts w:ascii="Times New Roman" w:hAnsi="Times New Roman" w:cs="Times New Roman"/>
          <w:color w:val="000000" w:themeColor="text1"/>
          <w:sz w:val="28"/>
          <w:szCs w:val="28"/>
        </w:rPr>
        <w:t>индивидуальное</w:t>
      </w:r>
      <w:r w:rsidR="00574720" w:rsidRPr="00A14096">
        <w:rPr>
          <w:rFonts w:ascii="Times New Roman" w:hAnsi="Times New Roman" w:cs="Times New Roman"/>
          <w:color w:val="000000" w:themeColor="text1"/>
          <w:sz w:val="28"/>
          <w:szCs w:val="28"/>
        </w:rPr>
        <w:t xml:space="preserve"> потребление на здоровье </w:t>
      </w:r>
      <w:r w:rsidR="00843E7C" w:rsidRPr="00A14096">
        <w:rPr>
          <w:rFonts w:ascii="Times New Roman" w:hAnsi="Times New Roman" w:cs="Times New Roman"/>
          <w:color w:val="000000" w:themeColor="text1"/>
          <w:sz w:val="28"/>
          <w:szCs w:val="28"/>
        </w:rPr>
        <w:t>распределяются</w:t>
      </w:r>
      <w:r w:rsidR="00574720" w:rsidRPr="00A14096">
        <w:rPr>
          <w:rFonts w:ascii="Times New Roman" w:hAnsi="Times New Roman" w:cs="Times New Roman"/>
          <w:color w:val="000000" w:themeColor="text1"/>
          <w:sz w:val="28"/>
          <w:szCs w:val="28"/>
        </w:rPr>
        <w:t xml:space="preserve"> на три институциональных сектора – домохозяйства, некоммерческие учреждения</w:t>
      </w:r>
      <w:r w:rsidR="00843E7C" w:rsidRPr="00A14096">
        <w:rPr>
          <w:rFonts w:ascii="Times New Roman" w:hAnsi="Times New Roman" w:cs="Times New Roman"/>
          <w:color w:val="000000" w:themeColor="text1"/>
          <w:sz w:val="28"/>
          <w:szCs w:val="28"/>
        </w:rPr>
        <w:t>, обслуживающие домохозяйства,</w:t>
      </w:r>
      <w:r w:rsidR="00574720" w:rsidRPr="00A14096">
        <w:rPr>
          <w:rFonts w:ascii="Times New Roman" w:hAnsi="Times New Roman" w:cs="Times New Roman"/>
          <w:color w:val="000000" w:themeColor="text1"/>
          <w:sz w:val="28"/>
          <w:szCs w:val="28"/>
        </w:rPr>
        <w:t xml:space="preserve"> и правительство. Расходы домохозяйств разбиты по типу товара или услуги. Расходы правительства распределяются между медицинскими товарами и услугами (разбиты по типу товара или купленной услуги), которые правительство покупает полностью или частично от производителей рынка. </w:t>
      </w:r>
      <w:r w:rsidR="00843E7C" w:rsidRPr="00A14096">
        <w:rPr>
          <w:rFonts w:ascii="Times New Roman" w:hAnsi="Times New Roman" w:cs="Times New Roman"/>
          <w:color w:val="000000" w:themeColor="text1"/>
          <w:sz w:val="28"/>
          <w:szCs w:val="28"/>
        </w:rPr>
        <w:t>Расходы некоммерческих организаций, обслуживающих д</w:t>
      </w:r>
      <w:r w:rsidR="00AF04D7">
        <w:rPr>
          <w:rFonts w:ascii="Times New Roman" w:hAnsi="Times New Roman" w:cs="Times New Roman"/>
          <w:color w:val="000000" w:themeColor="text1"/>
          <w:sz w:val="28"/>
          <w:szCs w:val="28"/>
        </w:rPr>
        <w:t xml:space="preserve">омохозяйства, не </w:t>
      </w:r>
      <w:r w:rsidR="00AF04D7">
        <w:rPr>
          <w:rFonts w:ascii="Times New Roman" w:hAnsi="Times New Roman" w:cs="Times New Roman"/>
          <w:color w:val="000000" w:themeColor="text1"/>
          <w:sz w:val="28"/>
          <w:szCs w:val="28"/>
        </w:rPr>
        <w:lastRenderedPageBreak/>
        <w:t>дезагрегирован</w:t>
      </w:r>
      <w:r w:rsidR="00843E7C" w:rsidRPr="00A14096">
        <w:rPr>
          <w:rFonts w:ascii="Times New Roman" w:hAnsi="Times New Roman" w:cs="Times New Roman"/>
          <w:color w:val="000000" w:themeColor="text1"/>
          <w:sz w:val="28"/>
          <w:szCs w:val="28"/>
        </w:rPr>
        <w:t>ы в межстрановом</w:t>
      </w:r>
      <w:r w:rsidR="00AF04D7">
        <w:rPr>
          <w:rFonts w:ascii="Times New Roman" w:hAnsi="Times New Roman" w:cs="Times New Roman"/>
          <w:color w:val="000000" w:themeColor="text1"/>
          <w:sz w:val="28"/>
          <w:szCs w:val="28"/>
        </w:rPr>
        <w:t xml:space="preserve"> </w:t>
      </w:r>
      <w:r w:rsidR="00843E7C" w:rsidRPr="00A14096">
        <w:rPr>
          <w:rFonts w:ascii="Times New Roman" w:hAnsi="Times New Roman" w:cs="Times New Roman"/>
          <w:color w:val="000000" w:themeColor="text1"/>
          <w:sz w:val="28"/>
          <w:szCs w:val="28"/>
        </w:rPr>
        <w:t>сопоставлении поскольку большинство участвующих стран не могут обеспечить разбивку по статьям расходов.</w:t>
      </w:r>
    </w:p>
    <w:p w:rsidR="008C3CCA" w:rsidRDefault="00894918" w:rsidP="008C3CCA">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Медицинские услуги, предоставляемые правительством, являются нерыночными услугами, поскольку они, как правило, поставляются бесплатно или по ценам, которые не являются экономически значимыми. В соответствии с национальными практиками бухгалтерского учета, расходы в данном случае будут оцениваться как сумма затрат на производство (оказание медицинских услуг). Чтобы сохранить согласованность сценам, основываясь на смете расходов, Евростат и ОЭСР рассчитали ППС для товаров и услуг, предоставляемых нерыночным производителем с ценами на его исходные данные (следовательно, расходы по компонентам затрат</w:t>
      </w:r>
      <w:r w:rsidR="008C3CCA">
        <w:rPr>
          <w:rFonts w:ascii="Times New Roman" w:hAnsi="Times New Roman" w:cs="Times New Roman"/>
          <w:color w:val="000000" w:themeColor="text1"/>
          <w:sz w:val="28"/>
          <w:szCs w:val="28"/>
        </w:rPr>
        <w:t>- таблица 2</w:t>
      </w:r>
      <w:r w:rsidRPr="00A14096">
        <w:rPr>
          <w:rFonts w:ascii="Times New Roman" w:hAnsi="Times New Roman" w:cs="Times New Roman"/>
          <w:color w:val="000000" w:themeColor="text1"/>
          <w:sz w:val="28"/>
          <w:szCs w:val="28"/>
        </w:rPr>
        <w:t xml:space="preserve">). Подход называется подходом с учетом цены </w:t>
      </w:r>
      <w:r w:rsidRPr="00A14096">
        <w:rPr>
          <w:rFonts w:ascii="Times New Roman" w:hAnsi="Times New Roman" w:cs="Times New Roman"/>
          <w:i/>
          <w:color w:val="000000" w:themeColor="text1"/>
          <w:sz w:val="28"/>
          <w:szCs w:val="28"/>
        </w:rPr>
        <w:t>(input-price</w:t>
      </w:r>
      <w:r w:rsidR="00AF04D7">
        <w:rPr>
          <w:rFonts w:ascii="Times New Roman" w:hAnsi="Times New Roman" w:cs="Times New Roman"/>
          <w:i/>
          <w:color w:val="000000" w:themeColor="text1"/>
          <w:sz w:val="28"/>
          <w:szCs w:val="28"/>
        </w:rPr>
        <w:t xml:space="preserve"> </w:t>
      </w:r>
      <w:r w:rsidRPr="00A14096">
        <w:rPr>
          <w:rFonts w:ascii="Times New Roman" w:hAnsi="Times New Roman" w:cs="Times New Roman"/>
          <w:i/>
          <w:color w:val="000000" w:themeColor="text1"/>
          <w:sz w:val="28"/>
          <w:szCs w:val="28"/>
        </w:rPr>
        <w:t>approach)</w:t>
      </w:r>
      <w:r w:rsidRPr="00A14096">
        <w:rPr>
          <w:rFonts w:ascii="Times New Roman" w:hAnsi="Times New Roman" w:cs="Times New Roman"/>
          <w:color w:val="000000" w:themeColor="text1"/>
          <w:sz w:val="28"/>
          <w:szCs w:val="28"/>
        </w:rPr>
        <w:t>.</w:t>
      </w:r>
    </w:p>
    <w:p w:rsidR="00894918" w:rsidRPr="008C3CCA" w:rsidRDefault="00A940B5" w:rsidP="008C3CCA">
      <w:pPr>
        <w:spacing w:after="0" w:line="240" w:lineRule="auto"/>
        <w:ind w:firstLine="709"/>
        <w:jc w:val="both"/>
        <w:rPr>
          <w:rFonts w:ascii="Times New Roman" w:hAnsi="Times New Roman" w:cs="Times New Roman"/>
          <w:color w:val="000000" w:themeColor="text1"/>
          <w:sz w:val="28"/>
          <w:szCs w:val="28"/>
        </w:rPr>
      </w:pPr>
      <w:r w:rsidRPr="002D35F3">
        <w:rPr>
          <w:rFonts w:ascii="Times New Roman" w:hAnsi="Times New Roman" w:cs="Times New Roman"/>
          <w:b/>
          <w:color w:val="000000" w:themeColor="text1"/>
          <w:sz w:val="28"/>
          <w:szCs w:val="28"/>
        </w:rPr>
        <w:t>Таблица 2. Расходы на здравоохранение по основным группам (рубрикам)</w:t>
      </w:r>
    </w:p>
    <w:p w:rsidR="00A940B5" w:rsidRPr="00A14096" w:rsidRDefault="00A940B5" w:rsidP="0073360E">
      <w:pPr>
        <w:spacing w:after="0" w:line="240" w:lineRule="auto"/>
        <w:ind w:firstLine="709"/>
        <w:rPr>
          <w:rFonts w:ascii="Times New Roman" w:hAnsi="Times New Roman" w:cs="Times New Roman"/>
          <w:color w:val="000000" w:themeColor="text1"/>
          <w:sz w:val="28"/>
          <w:szCs w:val="28"/>
        </w:rPr>
      </w:pPr>
    </w:p>
    <w:tbl>
      <w:tblPr>
        <w:tblStyle w:val="-50"/>
        <w:tblW w:w="0" w:type="auto"/>
        <w:tblLook w:val="04A0" w:firstRow="1" w:lastRow="0" w:firstColumn="1" w:lastColumn="0" w:noHBand="0" w:noVBand="1"/>
      </w:tblPr>
      <w:tblGrid>
        <w:gridCol w:w="1407"/>
        <w:gridCol w:w="3902"/>
        <w:gridCol w:w="4026"/>
      </w:tblGrid>
      <w:tr w:rsidR="00163260" w:rsidRPr="00A14096" w:rsidTr="00022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163260" w:rsidRPr="00A14096" w:rsidRDefault="00163260" w:rsidP="0073360E">
            <w:pPr>
              <w:ind w:firstLine="709"/>
              <w:jc w:val="cente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Код</w:t>
            </w:r>
          </w:p>
        </w:tc>
        <w:tc>
          <w:tcPr>
            <w:tcW w:w="4087" w:type="dxa"/>
          </w:tcPr>
          <w:p w:rsidR="00163260" w:rsidRPr="00A14096" w:rsidRDefault="00163260" w:rsidP="0073360E">
            <w:pPr>
              <w:ind w:firstLine="709"/>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Группа</w:t>
            </w:r>
          </w:p>
        </w:tc>
        <w:tc>
          <w:tcPr>
            <w:tcW w:w="4202" w:type="dxa"/>
          </w:tcPr>
          <w:p w:rsidR="00163260" w:rsidRPr="00A14096" w:rsidRDefault="00163260" w:rsidP="0073360E">
            <w:pPr>
              <w:ind w:firstLine="709"/>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Использованный ППС</w:t>
            </w:r>
          </w:p>
        </w:tc>
      </w:tr>
      <w:tr w:rsidR="002A356E" w:rsidRPr="00A14096" w:rsidTr="004F2F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gridSpan w:val="3"/>
          </w:tcPr>
          <w:p w:rsidR="002A356E" w:rsidRPr="00A14096" w:rsidRDefault="002A356E" w:rsidP="0073360E">
            <w:pPr>
              <w:ind w:firstLine="709"/>
              <w:jc w:val="cente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Расходы на индивидуальное потребление домохозяйств</w:t>
            </w:r>
          </w:p>
        </w:tc>
      </w:tr>
      <w:tr w:rsidR="00775385" w:rsidRPr="00A14096" w:rsidTr="00CC5C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775385" w:rsidRPr="00A14096" w:rsidRDefault="00775385"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11.06.11.1</w:t>
            </w:r>
          </w:p>
        </w:tc>
        <w:tc>
          <w:tcPr>
            <w:tcW w:w="4087" w:type="dxa"/>
          </w:tcPr>
          <w:p w:rsidR="00775385" w:rsidRPr="00A14096" w:rsidRDefault="002D35F3"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Фармацевтические това</w:t>
            </w:r>
            <w:r w:rsidR="00775385" w:rsidRPr="00A14096">
              <w:rPr>
                <w:rFonts w:ascii="Times New Roman" w:hAnsi="Times New Roman" w:cs="Times New Roman"/>
                <w:color w:val="000000" w:themeColor="text1"/>
                <w:sz w:val="28"/>
                <w:szCs w:val="28"/>
              </w:rPr>
              <w:t>ры</w:t>
            </w:r>
          </w:p>
        </w:tc>
        <w:tc>
          <w:tcPr>
            <w:tcW w:w="4202" w:type="dxa"/>
            <w:vMerge w:val="restart"/>
            <w:vAlign w:val="center"/>
          </w:tcPr>
          <w:p w:rsidR="00CC5CA9" w:rsidRPr="00A14096" w:rsidRDefault="00775385"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 xml:space="preserve">ППС, </w:t>
            </w:r>
            <w:r w:rsidR="00CC5CA9" w:rsidRPr="00A14096">
              <w:rPr>
                <w:rFonts w:ascii="Times New Roman" w:hAnsi="Times New Roman" w:cs="Times New Roman"/>
                <w:color w:val="000000" w:themeColor="text1"/>
                <w:sz w:val="28"/>
                <w:szCs w:val="28"/>
              </w:rPr>
              <w:t>рассчитанный по ценам из трёхлетнего цикла обзоров цен для потребительских товаров и услуг</w:t>
            </w:r>
          </w:p>
          <w:p w:rsidR="00775385" w:rsidRPr="00A14096" w:rsidRDefault="00775385" w:rsidP="0073360E">
            <w:pPr>
              <w:ind w:firstLine="709"/>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p>
        </w:tc>
      </w:tr>
      <w:tr w:rsidR="00775385"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775385" w:rsidRPr="00A14096" w:rsidRDefault="00775385"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11.06.12.1</w:t>
            </w:r>
          </w:p>
        </w:tc>
        <w:tc>
          <w:tcPr>
            <w:tcW w:w="4087" w:type="dxa"/>
          </w:tcPr>
          <w:p w:rsidR="00775385" w:rsidRPr="00A14096" w:rsidRDefault="00775385"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Другие медицинские товары</w:t>
            </w:r>
          </w:p>
        </w:tc>
        <w:tc>
          <w:tcPr>
            <w:tcW w:w="4202" w:type="dxa"/>
            <w:vMerge/>
          </w:tcPr>
          <w:p w:rsidR="00775385" w:rsidRPr="00A14096" w:rsidRDefault="00775385" w:rsidP="0073360E">
            <w:pPr>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r>
      <w:tr w:rsidR="00775385"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775385" w:rsidRPr="00A14096" w:rsidRDefault="00775385"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11.06.13.1</w:t>
            </w:r>
          </w:p>
        </w:tc>
        <w:tc>
          <w:tcPr>
            <w:tcW w:w="4087" w:type="dxa"/>
          </w:tcPr>
          <w:p w:rsidR="00775385" w:rsidRPr="00A14096" w:rsidRDefault="00775385"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Терапевтические приборы и оборудование</w:t>
            </w:r>
          </w:p>
        </w:tc>
        <w:tc>
          <w:tcPr>
            <w:tcW w:w="4202" w:type="dxa"/>
            <w:vMerge/>
          </w:tcPr>
          <w:p w:rsidR="00775385" w:rsidRPr="00A14096" w:rsidRDefault="00775385" w:rsidP="0073360E">
            <w:pPr>
              <w:ind w:firstLine="709"/>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p>
        </w:tc>
      </w:tr>
      <w:tr w:rsidR="00775385"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775385" w:rsidRPr="00A14096" w:rsidRDefault="00775385"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11.06.21.1</w:t>
            </w:r>
          </w:p>
        </w:tc>
        <w:tc>
          <w:tcPr>
            <w:tcW w:w="4087" w:type="dxa"/>
          </w:tcPr>
          <w:p w:rsidR="00775385" w:rsidRPr="00A14096" w:rsidRDefault="00775385"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Амбулаторные медицинские услуги</w:t>
            </w:r>
          </w:p>
        </w:tc>
        <w:tc>
          <w:tcPr>
            <w:tcW w:w="4202" w:type="dxa"/>
            <w:vMerge/>
          </w:tcPr>
          <w:p w:rsidR="00775385" w:rsidRPr="00A14096" w:rsidRDefault="00775385" w:rsidP="0073360E">
            <w:pPr>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r>
      <w:tr w:rsidR="00775385"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775385" w:rsidRPr="00A14096" w:rsidRDefault="00775385"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11.06.22.1</w:t>
            </w:r>
          </w:p>
        </w:tc>
        <w:tc>
          <w:tcPr>
            <w:tcW w:w="4087" w:type="dxa"/>
          </w:tcPr>
          <w:p w:rsidR="00775385" w:rsidRPr="00A14096" w:rsidRDefault="00775385"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Амбулаторные стоматологические услуги</w:t>
            </w:r>
          </w:p>
        </w:tc>
        <w:tc>
          <w:tcPr>
            <w:tcW w:w="4202" w:type="dxa"/>
            <w:vMerge/>
          </w:tcPr>
          <w:p w:rsidR="00775385" w:rsidRPr="00A14096" w:rsidRDefault="00775385" w:rsidP="0073360E">
            <w:pPr>
              <w:ind w:firstLine="709"/>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p>
        </w:tc>
      </w:tr>
      <w:tr w:rsidR="00775385"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775385" w:rsidRPr="00A14096" w:rsidRDefault="00775385"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11.06.23.1</w:t>
            </w:r>
          </w:p>
        </w:tc>
        <w:tc>
          <w:tcPr>
            <w:tcW w:w="4087" w:type="dxa"/>
          </w:tcPr>
          <w:p w:rsidR="00775385" w:rsidRPr="00A14096" w:rsidRDefault="00775385"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Офтальмологические услуги</w:t>
            </w:r>
          </w:p>
        </w:tc>
        <w:tc>
          <w:tcPr>
            <w:tcW w:w="4202" w:type="dxa"/>
            <w:vMerge/>
          </w:tcPr>
          <w:p w:rsidR="00775385" w:rsidRPr="00A14096" w:rsidRDefault="00775385" w:rsidP="0073360E">
            <w:pPr>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r>
      <w:tr w:rsidR="00022D7F"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022D7F" w:rsidRPr="00A14096" w:rsidRDefault="00022D7F"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11.06.31.1</w:t>
            </w:r>
          </w:p>
        </w:tc>
        <w:tc>
          <w:tcPr>
            <w:tcW w:w="4087" w:type="dxa"/>
          </w:tcPr>
          <w:p w:rsidR="00022D7F" w:rsidRPr="00A14096" w:rsidRDefault="00775385"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Услуги больницы</w:t>
            </w:r>
          </w:p>
        </w:tc>
        <w:tc>
          <w:tcPr>
            <w:tcW w:w="4202" w:type="dxa"/>
          </w:tcPr>
          <w:p w:rsidR="00022D7F" w:rsidRPr="00A14096" w:rsidRDefault="00785AEE"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производства медицинских услуг</w:t>
            </w:r>
            <w:r w:rsidR="002D35F3">
              <w:rPr>
                <w:rFonts w:ascii="Times New Roman" w:hAnsi="Times New Roman" w:cs="Times New Roman"/>
                <w:color w:val="000000" w:themeColor="text1"/>
                <w:sz w:val="28"/>
                <w:szCs w:val="28"/>
              </w:rPr>
              <w:t xml:space="preserve"> </w:t>
            </w:r>
            <w:r w:rsidRPr="00A14096">
              <w:rPr>
                <w:rFonts w:ascii="Times New Roman" w:hAnsi="Times New Roman" w:cs="Times New Roman"/>
                <w:color w:val="000000" w:themeColor="text1"/>
                <w:sz w:val="28"/>
                <w:szCs w:val="28"/>
              </w:rPr>
              <w:t>правительство (без поступлений от продаж)</w:t>
            </w:r>
          </w:p>
        </w:tc>
      </w:tr>
      <w:tr w:rsidR="002A356E" w:rsidRPr="00A14096" w:rsidTr="004F2F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gridSpan w:val="3"/>
          </w:tcPr>
          <w:p w:rsidR="002A356E" w:rsidRPr="00A14096" w:rsidRDefault="009D5D8D" w:rsidP="0073360E">
            <w:pPr>
              <w:ind w:firstLine="709"/>
              <w:jc w:val="cente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Расходы на индивидуальное потребление некоммерческих учреждений, обслуживающих домохозяйства</w:t>
            </w:r>
          </w:p>
        </w:tc>
      </w:tr>
      <w:tr w:rsidR="00785AEE"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785AEE" w:rsidRPr="00A14096" w:rsidRDefault="00636614"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12.02.11.1</w:t>
            </w:r>
          </w:p>
        </w:tc>
        <w:tc>
          <w:tcPr>
            <w:tcW w:w="4087" w:type="dxa"/>
          </w:tcPr>
          <w:p w:rsidR="00785AEE" w:rsidRPr="00A14096" w:rsidRDefault="00636614"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Медицинские услуги</w:t>
            </w:r>
          </w:p>
        </w:tc>
        <w:tc>
          <w:tcPr>
            <w:tcW w:w="4202" w:type="dxa"/>
          </w:tcPr>
          <w:p w:rsidR="00785AEE" w:rsidRPr="00A14096" w:rsidRDefault="00636614"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производства медицинских услуг</w:t>
            </w:r>
            <w:r w:rsidR="002D35F3">
              <w:rPr>
                <w:rFonts w:ascii="Times New Roman" w:hAnsi="Times New Roman" w:cs="Times New Roman"/>
                <w:color w:val="000000" w:themeColor="text1"/>
                <w:sz w:val="28"/>
                <w:szCs w:val="28"/>
              </w:rPr>
              <w:t xml:space="preserve"> </w:t>
            </w:r>
            <w:r w:rsidRPr="00A14096">
              <w:rPr>
                <w:rFonts w:ascii="Times New Roman" w:hAnsi="Times New Roman" w:cs="Times New Roman"/>
                <w:color w:val="000000" w:themeColor="text1"/>
                <w:sz w:val="28"/>
                <w:szCs w:val="28"/>
              </w:rPr>
              <w:t>правительство (без поступлений от продаж)</w:t>
            </w:r>
          </w:p>
        </w:tc>
      </w:tr>
      <w:tr w:rsidR="00636614" w:rsidRPr="00A14096" w:rsidTr="004F2F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gridSpan w:val="3"/>
          </w:tcPr>
          <w:p w:rsidR="00636614" w:rsidRPr="00A14096" w:rsidRDefault="00636614" w:rsidP="0073360E">
            <w:pPr>
              <w:ind w:firstLine="709"/>
              <w:jc w:val="cente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Расходы на индивидуальное потребление правительства</w:t>
            </w:r>
          </w:p>
        </w:tc>
      </w:tr>
      <w:tr w:rsidR="00636614" w:rsidRPr="00A14096" w:rsidTr="004F2F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gridSpan w:val="3"/>
          </w:tcPr>
          <w:p w:rsidR="00636614" w:rsidRPr="00A14096" w:rsidRDefault="00F501FC" w:rsidP="002D35F3">
            <w:pPr>
              <w:ind w:firstLine="709"/>
              <w:jc w:val="cente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Польза для здоровья и компенсации</w:t>
            </w:r>
          </w:p>
        </w:tc>
      </w:tr>
      <w:tr w:rsidR="003A3C48" w:rsidRPr="00A14096" w:rsidTr="003A3C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3A3C48"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13.02.11.1</w:t>
            </w:r>
          </w:p>
        </w:tc>
        <w:tc>
          <w:tcPr>
            <w:tcW w:w="4087" w:type="dxa"/>
          </w:tcPr>
          <w:p w:rsidR="003A3C48" w:rsidRPr="00A14096" w:rsidRDefault="003A3C48"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Фармацевтические товары</w:t>
            </w:r>
          </w:p>
        </w:tc>
        <w:tc>
          <w:tcPr>
            <w:tcW w:w="4202" w:type="dxa"/>
            <w:vMerge w:val="restart"/>
            <w:vAlign w:val="center"/>
          </w:tcPr>
          <w:p w:rsidR="003A3C48" w:rsidRPr="00A14096" w:rsidRDefault="003A3C48"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рассчитанный по ценам из трёхлетнего цикла обзоров цен для потребительских товаров и услуг</w:t>
            </w:r>
          </w:p>
          <w:p w:rsidR="003A3C48" w:rsidRPr="00A14096" w:rsidRDefault="003A3C48" w:rsidP="0073360E">
            <w:pPr>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r>
      <w:tr w:rsidR="003A3C48" w:rsidRPr="00A14096" w:rsidTr="003A3C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3A3C48"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13.02.11.2</w:t>
            </w:r>
          </w:p>
        </w:tc>
        <w:tc>
          <w:tcPr>
            <w:tcW w:w="4087" w:type="dxa"/>
          </w:tcPr>
          <w:p w:rsidR="003A3C48" w:rsidRPr="00A14096" w:rsidRDefault="003A3C48"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Другие медицинские товары</w:t>
            </w:r>
          </w:p>
        </w:tc>
        <w:tc>
          <w:tcPr>
            <w:tcW w:w="4202" w:type="dxa"/>
            <w:vMerge/>
            <w:vAlign w:val="center"/>
          </w:tcPr>
          <w:p w:rsidR="003A3C48" w:rsidRPr="00A14096" w:rsidRDefault="003A3C48" w:rsidP="0073360E">
            <w:pPr>
              <w:ind w:firstLine="709"/>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p>
        </w:tc>
      </w:tr>
      <w:tr w:rsidR="003A3C48" w:rsidRPr="00A14096" w:rsidTr="003A3C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3A3C48"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13.02.11.3</w:t>
            </w:r>
          </w:p>
        </w:tc>
        <w:tc>
          <w:tcPr>
            <w:tcW w:w="4087" w:type="dxa"/>
          </w:tcPr>
          <w:p w:rsidR="003A3C48" w:rsidRPr="00A14096" w:rsidRDefault="003A3C48"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Терапевтические приборы и оборудование</w:t>
            </w:r>
          </w:p>
        </w:tc>
        <w:tc>
          <w:tcPr>
            <w:tcW w:w="4202" w:type="dxa"/>
            <w:vMerge/>
            <w:vAlign w:val="center"/>
          </w:tcPr>
          <w:p w:rsidR="003A3C48" w:rsidRPr="00A14096" w:rsidRDefault="003A3C48" w:rsidP="0073360E">
            <w:pPr>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r>
      <w:tr w:rsidR="003A3C48" w:rsidRPr="00A14096" w:rsidTr="003A3C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3A3C48"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lastRenderedPageBreak/>
              <w:t>13.02.12.1</w:t>
            </w:r>
          </w:p>
        </w:tc>
        <w:tc>
          <w:tcPr>
            <w:tcW w:w="4087" w:type="dxa"/>
          </w:tcPr>
          <w:p w:rsidR="003A3C48" w:rsidRPr="00A14096" w:rsidRDefault="003A3C48"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Амбулаторные медицинские услуги</w:t>
            </w:r>
          </w:p>
        </w:tc>
        <w:tc>
          <w:tcPr>
            <w:tcW w:w="4202" w:type="dxa"/>
            <w:vMerge/>
            <w:vAlign w:val="center"/>
          </w:tcPr>
          <w:p w:rsidR="003A3C48" w:rsidRPr="00A14096" w:rsidRDefault="003A3C48" w:rsidP="0073360E">
            <w:pPr>
              <w:ind w:firstLine="709"/>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p>
        </w:tc>
      </w:tr>
      <w:tr w:rsidR="003A3C48" w:rsidRPr="00A14096" w:rsidTr="003A3C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3A3C48"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lastRenderedPageBreak/>
              <w:t>13.02.12.2</w:t>
            </w:r>
          </w:p>
        </w:tc>
        <w:tc>
          <w:tcPr>
            <w:tcW w:w="4087" w:type="dxa"/>
          </w:tcPr>
          <w:p w:rsidR="003A3C48" w:rsidRPr="00A14096" w:rsidRDefault="003A3C48"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Амбулаторные стоматологические услуги</w:t>
            </w:r>
          </w:p>
        </w:tc>
        <w:tc>
          <w:tcPr>
            <w:tcW w:w="4202" w:type="dxa"/>
            <w:vMerge/>
            <w:vAlign w:val="center"/>
          </w:tcPr>
          <w:p w:rsidR="003A3C48" w:rsidRPr="00A14096" w:rsidRDefault="003A3C48" w:rsidP="0073360E">
            <w:pPr>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r>
      <w:tr w:rsidR="003A3C48" w:rsidRPr="00A14096" w:rsidTr="003A3C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3A3C48"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13.02.12.3</w:t>
            </w:r>
          </w:p>
        </w:tc>
        <w:tc>
          <w:tcPr>
            <w:tcW w:w="4087" w:type="dxa"/>
          </w:tcPr>
          <w:p w:rsidR="003A3C48" w:rsidRPr="00A14096" w:rsidRDefault="003A3C48"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Офтальмологические услуги</w:t>
            </w:r>
          </w:p>
        </w:tc>
        <w:tc>
          <w:tcPr>
            <w:tcW w:w="4202" w:type="dxa"/>
            <w:vMerge/>
            <w:vAlign w:val="center"/>
          </w:tcPr>
          <w:p w:rsidR="003A3C48" w:rsidRPr="00A14096" w:rsidRDefault="003A3C48" w:rsidP="0073360E">
            <w:pPr>
              <w:ind w:firstLine="709"/>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p>
        </w:tc>
      </w:tr>
      <w:tr w:rsidR="003A3C48" w:rsidRPr="00A14096" w:rsidTr="003A3C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3A3C48"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13.02.12.4</w:t>
            </w:r>
          </w:p>
        </w:tc>
        <w:tc>
          <w:tcPr>
            <w:tcW w:w="4087" w:type="dxa"/>
          </w:tcPr>
          <w:p w:rsidR="003A3C48" w:rsidRPr="00A14096" w:rsidRDefault="003A3C48"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Услуги больницы</w:t>
            </w:r>
          </w:p>
        </w:tc>
        <w:tc>
          <w:tcPr>
            <w:tcW w:w="4202" w:type="dxa"/>
            <w:vAlign w:val="center"/>
          </w:tcPr>
          <w:p w:rsidR="003A3C48" w:rsidRPr="00A14096" w:rsidRDefault="003A3C48"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производства медицинских услуг</w:t>
            </w:r>
            <w:r w:rsidR="002D35F3">
              <w:rPr>
                <w:rFonts w:ascii="Times New Roman" w:hAnsi="Times New Roman" w:cs="Times New Roman"/>
                <w:color w:val="000000" w:themeColor="text1"/>
                <w:sz w:val="28"/>
                <w:szCs w:val="28"/>
              </w:rPr>
              <w:t xml:space="preserve"> </w:t>
            </w:r>
            <w:r w:rsidRPr="00A14096">
              <w:rPr>
                <w:rFonts w:ascii="Times New Roman" w:hAnsi="Times New Roman" w:cs="Times New Roman"/>
                <w:color w:val="000000" w:themeColor="text1"/>
                <w:sz w:val="28"/>
                <w:szCs w:val="28"/>
              </w:rPr>
              <w:t>правительство (без поступлений от продаж)</w:t>
            </w:r>
          </w:p>
        </w:tc>
      </w:tr>
      <w:tr w:rsidR="00D87837" w:rsidRPr="00A14096" w:rsidTr="004F2F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gridSpan w:val="3"/>
          </w:tcPr>
          <w:p w:rsidR="00D87837" w:rsidRPr="00A14096" w:rsidRDefault="005720B0" w:rsidP="0073360E">
            <w:pPr>
              <w:ind w:firstLine="709"/>
              <w:jc w:val="cente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Производство медицинских услуг</w:t>
            </w:r>
          </w:p>
        </w:tc>
      </w:tr>
      <w:tr w:rsidR="00CB04DD"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CB04DD" w:rsidRPr="00A14096" w:rsidRDefault="00CB04DD"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13.02.21.1</w:t>
            </w:r>
          </w:p>
        </w:tc>
        <w:tc>
          <w:tcPr>
            <w:tcW w:w="4087" w:type="dxa"/>
          </w:tcPr>
          <w:p w:rsidR="00CB04DD" w:rsidRPr="00A14096" w:rsidRDefault="00CB04DD"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Компенсация сотрудников: врачи</w:t>
            </w:r>
          </w:p>
        </w:tc>
        <w:tc>
          <w:tcPr>
            <w:tcW w:w="4202" w:type="dxa"/>
            <w:vMerge w:val="restart"/>
          </w:tcPr>
          <w:p w:rsidR="00CB04DD" w:rsidRPr="00A14096" w:rsidRDefault="00CB04DD"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формируется на основании ежегодного обзора компенсаций государственных служащих</w:t>
            </w:r>
          </w:p>
        </w:tc>
      </w:tr>
      <w:tr w:rsidR="00CB04DD"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CB04DD" w:rsidRPr="00A14096" w:rsidRDefault="00CB04DD"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13.02.21.2</w:t>
            </w:r>
          </w:p>
        </w:tc>
        <w:tc>
          <w:tcPr>
            <w:tcW w:w="4087" w:type="dxa"/>
          </w:tcPr>
          <w:p w:rsidR="00CB04DD" w:rsidRPr="00A14096" w:rsidRDefault="00CB04DD"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Компенсация сотрудников: Медсестры и</w:t>
            </w:r>
            <w:r w:rsidR="002D35F3">
              <w:rPr>
                <w:rFonts w:ascii="Times New Roman" w:hAnsi="Times New Roman" w:cs="Times New Roman"/>
                <w:color w:val="000000" w:themeColor="text1"/>
                <w:sz w:val="28"/>
                <w:szCs w:val="28"/>
              </w:rPr>
              <w:t xml:space="preserve"> </w:t>
            </w:r>
            <w:r w:rsidRPr="00A14096">
              <w:rPr>
                <w:rFonts w:ascii="Times New Roman" w:hAnsi="Times New Roman" w:cs="Times New Roman"/>
                <w:color w:val="000000" w:themeColor="text1"/>
                <w:sz w:val="28"/>
                <w:szCs w:val="28"/>
              </w:rPr>
              <w:t>другой медицинский персонал</w:t>
            </w:r>
          </w:p>
        </w:tc>
        <w:tc>
          <w:tcPr>
            <w:tcW w:w="4202" w:type="dxa"/>
            <w:vMerge/>
          </w:tcPr>
          <w:p w:rsidR="00CB04DD" w:rsidRPr="00A14096" w:rsidRDefault="00CB04DD" w:rsidP="0073360E">
            <w:pPr>
              <w:ind w:firstLine="709"/>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p>
        </w:tc>
      </w:tr>
      <w:tr w:rsidR="00CB04DD"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CB04DD" w:rsidRPr="00A14096" w:rsidRDefault="00CB04DD"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13.02.21.3</w:t>
            </w:r>
          </w:p>
        </w:tc>
        <w:tc>
          <w:tcPr>
            <w:tcW w:w="4087" w:type="dxa"/>
          </w:tcPr>
          <w:p w:rsidR="00CB04DD" w:rsidRPr="00A14096" w:rsidRDefault="00CB04DD"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Компенсация сотрудников: немедицинские</w:t>
            </w:r>
            <w:r w:rsidR="002D35F3">
              <w:rPr>
                <w:rFonts w:ascii="Times New Roman" w:hAnsi="Times New Roman" w:cs="Times New Roman"/>
                <w:color w:val="000000" w:themeColor="text1"/>
                <w:sz w:val="28"/>
                <w:szCs w:val="28"/>
              </w:rPr>
              <w:t xml:space="preserve"> </w:t>
            </w:r>
            <w:r w:rsidRPr="00A14096">
              <w:rPr>
                <w:rFonts w:ascii="Times New Roman" w:hAnsi="Times New Roman" w:cs="Times New Roman"/>
                <w:color w:val="000000" w:themeColor="text1"/>
                <w:sz w:val="28"/>
                <w:szCs w:val="28"/>
              </w:rPr>
              <w:t>сотрудники</w:t>
            </w:r>
          </w:p>
        </w:tc>
        <w:tc>
          <w:tcPr>
            <w:tcW w:w="4202" w:type="dxa"/>
            <w:vMerge/>
          </w:tcPr>
          <w:p w:rsidR="00CB04DD" w:rsidRPr="00A14096" w:rsidRDefault="00CB04DD" w:rsidP="0073360E">
            <w:pPr>
              <w:ind w:firstLine="7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p>
        </w:tc>
      </w:tr>
      <w:tr w:rsidR="003A3C48"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92605E"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13.02.22.1</w:t>
            </w:r>
          </w:p>
        </w:tc>
        <w:tc>
          <w:tcPr>
            <w:tcW w:w="4087" w:type="dxa"/>
          </w:tcPr>
          <w:p w:rsidR="003A3C48" w:rsidRPr="00A14096" w:rsidRDefault="0092605E"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Промежуточное потребление: фармацевтические товары</w:t>
            </w:r>
          </w:p>
        </w:tc>
        <w:tc>
          <w:tcPr>
            <w:tcW w:w="4202" w:type="dxa"/>
          </w:tcPr>
          <w:p w:rsidR="003A3C48" w:rsidRPr="00A14096" w:rsidRDefault="0092605E"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фармацевтических товаров</w:t>
            </w:r>
          </w:p>
        </w:tc>
      </w:tr>
      <w:tr w:rsidR="003A3C48"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3A3C48" w:rsidRPr="00A14096" w:rsidRDefault="0092605E"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13.02.22.2</w:t>
            </w:r>
          </w:p>
        </w:tc>
        <w:tc>
          <w:tcPr>
            <w:tcW w:w="4087" w:type="dxa"/>
          </w:tcPr>
          <w:p w:rsidR="003A3C48" w:rsidRPr="00A14096" w:rsidRDefault="0092605E"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Промежуточное потребление: иные медицинские товары</w:t>
            </w:r>
          </w:p>
        </w:tc>
        <w:tc>
          <w:tcPr>
            <w:tcW w:w="4202" w:type="dxa"/>
          </w:tcPr>
          <w:p w:rsidR="003A3C48" w:rsidRPr="00A14096" w:rsidRDefault="0092605E"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иных медицинских товаров</w:t>
            </w:r>
          </w:p>
        </w:tc>
      </w:tr>
      <w:tr w:rsidR="000B7A53"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0B7A53" w:rsidRPr="00A14096" w:rsidRDefault="0092605E"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13.02.22.3</w:t>
            </w:r>
          </w:p>
        </w:tc>
        <w:tc>
          <w:tcPr>
            <w:tcW w:w="4087" w:type="dxa"/>
          </w:tcPr>
          <w:p w:rsidR="000B7A53" w:rsidRPr="00A14096" w:rsidRDefault="0092605E"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Промежуточное потребление: терапевтические приборы и оборудование</w:t>
            </w:r>
          </w:p>
        </w:tc>
        <w:tc>
          <w:tcPr>
            <w:tcW w:w="4202" w:type="dxa"/>
          </w:tcPr>
          <w:p w:rsidR="000B7A53" w:rsidRPr="00A14096" w:rsidRDefault="00E12D35"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терапевтических приборов и оборудования</w:t>
            </w:r>
          </w:p>
        </w:tc>
      </w:tr>
      <w:tr w:rsidR="000B7A53"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0B7A53" w:rsidRPr="00A14096" w:rsidRDefault="007B3893"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13.02.22.4</w:t>
            </w:r>
          </w:p>
        </w:tc>
        <w:tc>
          <w:tcPr>
            <w:tcW w:w="4087" w:type="dxa"/>
          </w:tcPr>
          <w:p w:rsidR="000B7A53" w:rsidRPr="00A14096" w:rsidRDefault="007B3893"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 xml:space="preserve">Промежуточное потребление </w:t>
            </w:r>
          </w:p>
        </w:tc>
        <w:tc>
          <w:tcPr>
            <w:tcW w:w="4202" w:type="dxa"/>
          </w:tcPr>
          <w:p w:rsidR="000B7A53" w:rsidRPr="00A14096" w:rsidRDefault="007B3893"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индивидуального рыночного потребления</w:t>
            </w:r>
          </w:p>
        </w:tc>
      </w:tr>
      <w:tr w:rsidR="000B7A53"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0B7A53" w:rsidRPr="00A14096" w:rsidRDefault="007B3893"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13.02.23.1</w:t>
            </w:r>
          </w:p>
        </w:tc>
        <w:tc>
          <w:tcPr>
            <w:tcW w:w="4087" w:type="dxa"/>
          </w:tcPr>
          <w:p w:rsidR="000B7A53" w:rsidRPr="00A14096" w:rsidRDefault="007B3893"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Валовой операционный излишек</w:t>
            </w:r>
          </w:p>
        </w:tc>
        <w:tc>
          <w:tcPr>
            <w:tcW w:w="4202" w:type="dxa"/>
          </w:tcPr>
          <w:p w:rsidR="000B7A53" w:rsidRPr="00A14096" w:rsidRDefault="007B3893"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валового накопления основного капитала</w:t>
            </w:r>
          </w:p>
        </w:tc>
      </w:tr>
      <w:tr w:rsidR="000B7A53" w:rsidRPr="00A14096" w:rsidTr="0002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0B7A53" w:rsidRPr="00A14096" w:rsidRDefault="007B3893"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13.02.24.1</w:t>
            </w:r>
          </w:p>
        </w:tc>
        <w:tc>
          <w:tcPr>
            <w:tcW w:w="4087" w:type="dxa"/>
          </w:tcPr>
          <w:p w:rsidR="000B7A53" w:rsidRPr="00A14096" w:rsidRDefault="007B3893"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Чистые налоги на производство</w:t>
            </w:r>
          </w:p>
        </w:tc>
        <w:tc>
          <w:tcPr>
            <w:tcW w:w="4202" w:type="dxa"/>
          </w:tcPr>
          <w:p w:rsidR="000B7A53" w:rsidRPr="00A14096" w:rsidRDefault="007B3893" w:rsidP="002D35F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производства медицинских услуг</w:t>
            </w:r>
            <w:r w:rsidR="002D35F3">
              <w:rPr>
                <w:rFonts w:ascii="Times New Roman" w:hAnsi="Times New Roman" w:cs="Times New Roman"/>
                <w:color w:val="000000" w:themeColor="text1"/>
                <w:sz w:val="28"/>
                <w:szCs w:val="28"/>
              </w:rPr>
              <w:t xml:space="preserve"> </w:t>
            </w:r>
            <w:r w:rsidRPr="00A14096">
              <w:rPr>
                <w:rFonts w:ascii="Times New Roman" w:hAnsi="Times New Roman" w:cs="Times New Roman"/>
                <w:color w:val="000000" w:themeColor="text1"/>
                <w:sz w:val="28"/>
                <w:szCs w:val="28"/>
              </w:rPr>
              <w:t>правительством (без чистых налогов на производство и поступления от продаж)</w:t>
            </w:r>
          </w:p>
        </w:tc>
      </w:tr>
      <w:tr w:rsidR="000B7A53" w:rsidRPr="00A14096" w:rsidTr="00022D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rsidR="000B7A53" w:rsidRPr="00A14096" w:rsidRDefault="007B3893" w:rsidP="002D35F3">
            <w:pPr>
              <w:rPr>
                <w:rFonts w:ascii="Times New Roman" w:hAnsi="Times New Roman" w:cs="Times New Roman"/>
                <w:b w:val="0"/>
                <w:color w:val="000000" w:themeColor="text1"/>
                <w:sz w:val="28"/>
                <w:szCs w:val="28"/>
              </w:rPr>
            </w:pPr>
            <w:r w:rsidRPr="00A14096">
              <w:rPr>
                <w:rFonts w:ascii="Times New Roman" w:hAnsi="Times New Roman" w:cs="Times New Roman"/>
                <w:b w:val="0"/>
                <w:color w:val="000000" w:themeColor="text1"/>
                <w:sz w:val="28"/>
                <w:szCs w:val="28"/>
              </w:rPr>
              <w:t>13.02.25.1</w:t>
            </w:r>
          </w:p>
        </w:tc>
        <w:tc>
          <w:tcPr>
            <w:tcW w:w="4087" w:type="dxa"/>
          </w:tcPr>
          <w:p w:rsidR="000B7A53" w:rsidRPr="00A14096" w:rsidRDefault="007B3893"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Поступления от продаж</w:t>
            </w:r>
          </w:p>
        </w:tc>
        <w:tc>
          <w:tcPr>
            <w:tcW w:w="4202" w:type="dxa"/>
          </w:tcPr>
          <w:p w:rsidR="000B7A53" w:rsidRPr="00A14096" w:rsidRDefault="007B3893" w:rsidP="002D35F3">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ППС для производства медицинских услуг правительством (без поступлений от продаж)</w:t>
            </w:r>
          </w:p>
        </w:tc>
      </w:tr>
    </w:tbl>
    <w:p w:rsidR="009728F4" w:rsidRDefault="009728F4" w:rsidP="009728F4">
      <w:pPr>
        <w:spacing w:after="0" w:line="240" w:lineRule="auto"/>
        <w:rPr>
          <w:rFonts w:ascii="Times New Roman" w:hAnsi="Times New Roman" w:cs="Times New Roman"/>
          <w:color w:val="000000" w:themeColor="text1"/>
          <w:sz w:val="28"/>
          <w:szCs w:val="28"/>
        </w:rPr>
      </w:pPr>
    </w:p>
    <w:p w:rsidR="00B516E9" w:rsidRPr="009728F4" w:rsidRDefault="003C7D9A" w:rsidP="009728F4">
      <w:pPr>
        <w:spacing w:after="0" w:line="240" w:lineRule="auto"/>
        <w:jc w:val="both"/>
        <w:rPr>
          <w:rFonts w:ascii="Times New Roman" w:hAnsi="Times New Roman" w:cs="Times New Roman"/>
          <w:b/>
          <w:color w:val="000000" w:themeColor="text1"/>
          <w:sz w:val="28"/>
          <w:szCs w:val="28"/>
        </w:rPr>
      </w:pPr>
      <w:r w:rsidRPr="00A14096">
        <w:rPr>
          <w:rFonts w:ascii="Times New Roman" w:hAnsi="Times New Roman" w:cs="Times New Roman"/>
          <w:b/>
          <w:color w:val="000000" w:themeColor="text1"/>
          <w:sz w:val="28"/>
          <w:szCs w:val="28"/>
        </w:rPr>
        <w:t>Сбор данных по ценам на товары и услуги</w:t>
      </w:r>
      <w:r w:rsidR="009728F4">
        <w:rPr>
          <w:rFonts w:ascii="Times New Roman" w:hAnsi="Times New Roman" w:cs="Times New Roman"/>
          <w:b/>
          <w:color w:val="000000" w:themeColor="text1"/>
          <w:sz w:val="28"/>
          <w:szCs w:val="28"/>
        </w:rPr>
        <w:t xml:space="preserve">. </w:t>
      </w:r>
      <w:r w:rsidRPr="00A14096">
        <w:rPr>
          <w:rFonts w:ascii="Times New Roman" w:hAnsi="Times New Roman" w:cs="Times New Roman"/>
          <w:color w:val="000000" w:themeColor="text1"/>
          <w:sz w:val="28"/>
          <w:szCs w:val="28"/>
        </w:rPr>
        <w:t xml:space="preserve">ППС для расходов на потребление медицинских товаров и услуг домохозяйств </w:t>
      </w:r>
      <w:r w:rsidR="00AD1FDC" w:rsidRPr="00A14096">
        <w:rPr>
          <w:rFonts w:ascii="Times New Roman" w:hAnsi="Times New Roman" w:cs="Times New Roman"/>
          <w:color w:val="000000" w:themeColor="text1"/>
          <w:sz w:val="28"/>
          <w:szCs w:val="28"/>
        </w:rPr>
        <w:t xml:space="preserve">от рыночных и государственных поставщиков медицинских услуг рассчитываются на основании цен, собранных из обзоров цен на потребительские товары и услуги. Из обзора берутся данные по фармацевтическим и иным медицинским </w:t>
      </w:r>
      <w:r w:rsidR="00AD1FDC" w:rsidRPr="00A14096">
        <w:rPr>
          <w:rFonts w:ascii="Times New Roman" w:hAnsi="Times New Roman" w:cs="Times New Roman"/>
          <w:color w:val="000000" w:themeColor="text1"/>
          <w:sz w:val="28"/>
          <w:szCs w:val="28"/>
        </w:rPr>
        <w:lastRenderedPageBreak/>
        <w:t>товарам (включая терапевтические приборы и оборудование), медицинские, парамедицинские, стоматологические  услуги, представляемые на уровне амбулатории. Сюда не вовлечены стационарные услуги. При обследовании цен на медицинские товары и амбулаторные услуги от участвующих в исследовании стран требуется сбор исключительно рыночных цен. Медицинские товары и амбулаторные услуги, производимые нерыночными агентами, покрываются государственными средствами, где требуются соответствующие корректировки (</w:t>
      </w:r>
      <w:r w:rsidR="00AD1FDC" w:rsidRPr="00A14096">
        <w:rPr>
          <w:rFonts w:ascii="Times New Roman" w:hAnsi="Times New Roman" w:cs="Times New Roman"/>
          <w:color w:val="000000" w:themeColor="text1"/>
          <w:sz w:val="28"/>
          <w:szCs w:val="28"/>
          <w:lang w:val="en-US"/>
        </w:rPr>
        <w:t>inputs</w:t>
      </w:r>
      <w:r w:rsidR="00AD1FDC" w:rsidRPr="00A14096">
        <w:rPr>
          <w:rFonts w:ascii="Times New Roman" w:hAnsi="Times New Roman" w:cs="Times New Roman"/>
          <w:color w:val="000000" w:themeColor="text1"/>
          <w:sz w:val="28"/>
          <w:szCs w:val="28"/>
        </w:rPr>
        <w:t>).</w:t>
      </w:r>
    </w:p>
    <w:p w:rsidR="006F449F" w:rsidRPr="00A14096" w:rsidRDefault="006F449F" w:rsidP="009728F4">
      <w:pPr>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При исследовании потребительских цен на медицинские товары и амбулаторные услуги заключается в обеспечении полной рыночной цены. Полная рыночная цена – общая сумма выплат поставщику товара или услуги. Участвующие страны обязаны сообщать о ценах покупа</w:t>
      </w:r>
      <w:r w:rsidR="00754D3F" w:rsidRPr="00A14096">
        <w:rPr>
          <w:rFonts w:ascii="Times New Roman" w:hAnsi="Times New Roman" w:cs="Times New Roman"/>
          <w:color w:val="000000" w:themeColor="text1"/>
          <w:sz w:val="28"/>
          <w:szCs w:val="28"/>
        </w:rPr>
        <w:t>телей на медицинские товары</w:t>
      </w:r>
      <w:r w:rsidR="00DC0967" w:rsidRPr="00A14096">
        <w:rPr>
          <w:rFonts w:ascii="Times New Roman" w:hAnsi="Times New Roman" w:cs="Times New Roman"/>
          <w:color w:val="000000" w:themeColor="text1"/>
          <w:sz w:val="28"/>
          <w:szCs w:val="28"/>
        </w:rPr>
        <w:t xml:space="preserve">, </w:t>
      </w:r>
      <w:r w:rsidRPr="00A14096">
        <w:rPr>
          <w:rFonts w:ascii="Times New Roman" w:hAnsi="Times New Roman" w:cs="Times New Roman"/>
          <w:color w:val="000000" w:themeColor="text1"/>
          <w:sz w:val="28"/>
          <w:szCs w:val="28"/>
        </w:rPr>
        <w:t>каким бы способом они ни продавались на внутреннем рынке.</w:t>
      </w:r>
      <w:r w:rsidR="00B516E9" w:rsidRPr="00A14096">
        <w:rPr>
          <w:rFonts w:ascii="Times New Roman" w:hAnsi="Times New Roman" w:cs="Times New Roman"/>
          <w:color w:val="000000" w:themeColor="text1"/>
          <w:sz w:val="28"/>
          <w:szCs w:val="28"/>
        </w:rPr>
        <w:t xml:space="preserve"> Цены на амбулаторные услуги, а также медицинские товары для потребления домашними хозяйствами и закупа правительством берутся полными.</w:t>
      </w:r>
    </w:p>
    <w:p w:rsidR="00AC437D" w:rsidRDefault="003829DD" w:rsidP="009728F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color w:val="000000" w:themeColor="text1"/>
          <w:sz w:val="28"/>
          <w:szCs w:val="28"/>
        </w:rPr>
        <w:t>Следует особое внимание уделить ценам на амбулаторные услуги государственных учреждений</w:t>
      </w:r>
    </w:p>
    <w:p w:rsidR="005B1A42" w:rsidRPr="00AC437D" w:rsidRDefault="005B1A42" w:rsidP="009728F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A14096">
        <w:rPr>
          <w:rFonts w:ascii="Times New Roman" w:hAnsi="Times New Roman" w:cs="Times New Roman"/>
          <w:sz w:val="28"/>
          <w:szCs w:val="28"/>
        </w:rPr>
        <w:t>Целью данного исследования является проведение межстранового сопоставления цен, которое требует стандартных единиц, способов и методов измерения, применяемых одинаково во всех странах, участвующих в сравнительном анализе. Общий подход, применяемый во всех странах ОЭСР, выглядит следующим образом:</w:t>
      </w:r>
    </w:p>
    <w:p w:rsidR="005B1A42" w:rsidRPr="00A14096" w:rsidRDefault="005B1A42" w:rsidP="009728F4">
      <w:pPr>
        <w:autoSpaceDE w:val="0"/>
        <w:autoSpaceDN w:val="0"/>
        <w:adjustRightInd w:val="0"/>
        <w:spacing w:after="0" w:line="240" w:lineRule="auto"/>
        <w:ind w:firstLine="709"/>
        <w:jc w:val="both"/>
        <w:rPr>
          <w:rFonts w:ascii="Times New Roman" w:hAnsi="Times New Roman" w:cs="Times New Roman"/>
          <w:sz w:val="28"/>
          <w:szCs w:val="28"/>
        </w:rPr>
      </w:pPr>
      <w:r w:rsidRPr="00A14096">
        <w:rPr>
          <w:rFonts w:ascii="Times New Roman" w:hAnsi="Times New Roman" w:cs="Times New Roman"/>
          <w:sz w:val="28"/>
          <w:szCs w:val="28"/>
        </w:rPr>
        <w:t>- Идентификация образца услуг (называемых «типами случаев»), производимых больницами.</w:t>
      </w:r>
    </w:p>
    <w:p w:rsidR="005B1A42" w:rsidRPr="00A14096" w:rsidRDefault="005B1A42" w:rsidP="009728F4">
      <w:pPr>
        <w:autoSpaceDE w:val="0"/>
        <w:autoSpaceDN w:val="0"/>
        <w:adjustRightInd w:val="0"/>
        <w:spacing w:after="0" w:line="240" w:lineRule="auto"/>
        <w:ind w:firstLine="709"/>
        <w:jc w:val="both"/>
        <w:rPr>
          <w:rFonts w:ascii="Times New Roman" w:hAnsi="Times New Roman" w:cs="Times New Roman"/>
          <w:sz w:val="28"/>
          <w:szCs w:val="28"/>
        </w:rPr>
      </w:pPr>
      <w:r w:rsidRPr="00A14096">
        <w:rPr>
          <w:rFonts w:ascii="Times New Roman" w:hAnsi="Times New Roman" w:cs="Times New Roman"/>
          <w:sz w:val="28"/>
          <w:szCs w:val="28"/>
        </w:rPr>
        <w:t>- Сбор информации о количестве госпитализаций и средней продолжительности пребывания в каждом типе случаев и в целом.</w:t>
      </w:r>
    </w:p>
    <w:p w:rsidR="005B1A42" w:rsidRPr="00A14096" w:rsidRDefault="005B1A42" w:rsidP="009728F4">
      <w:pPr>
        <w:autoSpaceDE w:val="0"/>
        <w:autoSpaceDN w:val="0"/>
        <w:adjustRightInd w:val="0"/>
        <w:spacing w:after="0" w:line="240" w:lineRule="auto"/>
        <w:ind w:firstLine="709"/>
        <w:jc w:val="both"/>
        <w:rPr>
          <w:rFonts w:ascii="Times New Roman" w:hAnsi="Times New Roman" w:cs="Times New Roman"/>
          <w:sz w:val="28"/>
          <w:szCs w:val="28"/>
        </w:rPr>
      </w:pPr>
      <w:r w:rsidRPr="00A14096">
        <w:rPr>
          <w:rFonts w:ascii="Times New Roman" w:hAnsi="Times New Roman" w:cs="Times New Roman"/>
          <w:sz w:val="28"/>
          <w:szCs w:val="28"/>
        </w:rPr>
        <w:t>- Сбор информации о цене за тип каждого случая вместе со своей структурой затрат.</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sz w:val="28"/>
          <w:szCs w:val="28"/>
        </w:rPr>
      </w:pPr>
      <w:r w:rsidRPr="00A14096">
        <w:rPr>
          <w:rFonts w:ascii="Times New Roman" w:hAnsi="Times New Roman" w:cs="Times New Roman"/>
          <w:sz w:val="28"/>
          <w:szCs w:val="28"/>
        </w:rPr>
        <w:t xml:space="preserve">Понятие </w:t>
      </w:r>
      <w:r w:rsidRPr="00A14096">
        <w:rPr>
          <w:rFonts w:ascii="Times New Roman" w:hAnsi="Times New Roman" w:cs="Times New Roman"/>
          <w:i/>
          <w:sz w:val="28"/>
          <w:szCs w:val="28"/>
        </w:rPr>
        <w:t>«тип случая»</w:t>
      </w:r>
      <w:r w:rsidRPr="00A14096">
        <w:rPr>
          <w:rFonts w:ascii="Times New Roman" w:hAnsi="Times New Roman" w:cs="Times New Roman"/>
          <w:sz w:val="28"/>
          <w:szCs w:val="28"/>
        </w:rPr>
        <w:t xml:space="preserve"> относится к категориям больничных услуг, которые схожи с клинической точки зрения и с точки зрения их потребления ресурсов. Выбранные типы случаев характеризуются репрезентативной выборкой больничных услуг, используемой для международных сопоставлений. Понятие «цена» относится к сумме денежных средств, фактически выплаченной поставщикам медицинских услуг из пулов денежных средств, личных расходов домохозяйств, а также средств сбережений. В анализ необходимо включать всех без исключения поставщиков медицинских услуг. Для целей данного анализа продолжительность пребывания рассчитывается как разница между датой приема и датой выписки. Аналогичное допущение применялось также для случаев, когда время пребывания в больнице составляло всего 1 день. </w:t>
      </w:r>
    </w:p>
    <w:p w:rsidR="005B1A42" w:rsidRPr="00AC437D" w:rsidRDefault="005B1A42" w:rsidP="00AC437D">
      <w:pPr>
        <w:autoSpaceDE w:val="0"/>
        <w:autoSpaceDN w:val="0"/>
        <w:adjustRightInd w:val="0"/>
        <w:spacing w:after="0" w:line="240" w:lineRule="auto"/>
        <w:ind w:firstLine="709"/>
        <w:jc w:val="both"/>
        <w:rPr>
          <w:rFonts w:ascii="Times New Roman" w:hAnsi="Times New Roman" w:cs="Times New Roman"/>
          <w:color w:val="FF0000"/>
          <w:sz w:val="28"/>
          <w:szCs w:val="28"/>
        </w:rPr>
      </w:pPr>
      <w:r w:rsidRPr="00A14096">
        <w:rPr>
          <w:rFonts w:ascii="Times New Roman" w:hAnsi="Times New Roman" w:cs="Times New Roman"/>
          <w:sz w:val="28"/>
          <w:szCs w:val="28"/>
        </w:rPr>
        <w:t xml:space="preserve">Предметы, по которым цены собираются и используются в исследовании, должны быть сопоставимыми. Следует отметить, что для подобного рода исследований не принимаются во внимание абсолютно все случаи, наблюдаемые в медицинских организациях. В расчет идут только </w:t>
      </w:r>
      <w:r w:rsidRPr="00A14096">
        <w:rPr>
          <w:rFonts w:ascii="Times New Roman" w:hAnsi="Times New Roman" w:cs="Times New Roman"/>
          <w:sz w:val="28"/>
          <w:szCs w:val="28"/>
        </w:rPr>
        <w:lastRenderedPageBreak/>
        <w:t xml:space="preserve">«типичные случаи», для которых характерен нормальный (стандартизированный) и ожидаемый курс лечения. </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xml:space="preserve">Аналогичные данные для сравнительного анализа собираются по странам ОЭСР на основании регулярного сбора данных о паритетах покупательной способности. Отметим, что данные из стран ОЭСР включают как государственных, так и частных поставщиков медицинских услуг. Методология, используемая в других странах, дает сопоставимую информацию по типам случаев, использует те же правила для расчета количества допущений, продолжительности пребывания,  критериев исключения и расчеты цен. В исследованиях ОЭСР по ППС данные собираются в виде средних квазицен для выбранных типов случаев. Квазицены обычно извлекаются из централизованных баз данных, сформированных в целях возмещения расходов и финансирования здравоохранения.  Квазицена может быть договорной ценой или регулируемой ценой; где первое относится к ценам, которые были установлены путем переговоров между покупателями (сторонними плательщиками) и поставщиками медицинских услуг; и последние отражают среднее расходы на предоставляемые услуги. В любом случае важно, чтобы они охватывали одни и те же виды затрат во всех странах-участницах исследования, отражающие прямые затраты, а также капитальные затраты и накладные расходы, связанные с производством медицинских услуг. Статьи затрат, включенные в квазицены, перечислены в </w:t>
      </w:r>
      <w:r w:rsidR="004C6B88">
        <w:rPr>
          <w:rFonts w:ascii="Times New Roman" w:hAnsi="Times New Roman" w:cs="Times New Roman"/>
          <w:bCs/>
          <w:sz w:val="28"/>
          <w:szCs w:val="28"/>
        </w:rPr>
        <w:t>Таблице 4.</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При проведении аналогичного исследования сравнительного анализа расходов на здравоохранение в Южной Африке со странами ОЭСР, показатели использования больниц в Южной Африке были сопоставлены с показателями, указанными для стран ОЭСР по двум типам случаев, замены коленного сустава и гистерэктомии (OECD 2014). Отмечаем, что расчет стандартов по возрасту / полу</w:t>
      </w:r>
    </w:p>
    <w:p w:rsidR="00F62DE8" w:rsidRDefault="005B1A42" w:rsidP="004C6B88">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Необходим для устранения влияния различий в возрастных / половых структурах населения. Стандартом население, используемое для международных сопоставлений, является население ОЭСР 2010 года, которое включает в себя все 34 страны ОЭСР. Стандартная ставка по возрасту / полу для каждой страны является средневзвешенной по возрасту и половому признаку</w:t>
      </w:r>
      <w:r w:rsidR="00F62DE8">
        <w:rPr>
          <w:rFonts w:ascii="Times New Roman" w:hAnsi="Times New Roman" w:cs="Times New Roman"/>
          <w:bCs/>
          <w:sz w:val="28"/>
          <w:szCs w:val="28"/>
        </w:rPr>
        <w:t xml:space="preserve">.  </w:t>
      </w:r>
    </w:p>
    <w:p w:rsidR="005B1A42" w:rsidRPr="00A14096" w:rsidRDefault="005B1A42" w:rsidP="004C6B88">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Паритеты покупательной способности (ППС) служат и как валютные конвертеры, так и пространственные дефляторы цен. Они конвертируют разные валюты в единую валюту и в процессе конвертации выравнивают их покупательную способность, устраняя различия в уровнях цен между странами. В простейшей форме, паритеты покупательной способности - это не что иное, как ценовые аналоги, которые показывают соотношение цен в национальных валютах на одинаковые товары или типы услуг в разных странах. ППС также указывают состав товаров и услуг, которые способствуют росту ВВП страны.</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lastRenderedPageBreak/>
        <w:t>Сравнительные уровни цен отражают то же, что и люди делают, сравнивая цены конкретного продукт в разных странах: они конвертируют цену продукта в стране А, выраженную в валюте страны А, в валюту страны Б, применяя рыночный обменный курс. Полученная цена (теперь выраженная в единицах валюты страны Б) затем сравнивается с фактической ценой продукта в стране Б. Если конвертированная цена продукта страны А превышает фактическую цену продукта страны Б, страна А будет считаться «более дорогой», чем страна Б. Сравнительные уровни цен нивелируют этот расчет путем деления ППС (отношение цены, наблюдаемой в стране А по цене, наблюдаемой в стране Б) к рыночному обменному курсу между двумя странами. Если полученное соотношение превышает единицу, страна А имеет уровень цен выше уровня цен в стране Б. Иной способ интерпретации сравнительных данных – то, что они указывают количество денежных единиц общей валюты, необходимой для приобретения одинакового количества товара или услуги.</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В данном случае среднее значение цены для группы сравнения рассчитывается как среднее геометрическое сравнительного уровня цен во всех странах, включенных в группу сравнения, а затем устанавливаются равными 100. Каждый сравнительный уровень цены страны затем выражается в отношении среднего значения 100. Результаты подобного сравнения интерпретируются в соответствии с относительными показателями экономического развития страны, но не на основании их абсолютного уровня.</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Первая сравнительная группа для бенчмаркинга включает двадцать стран ОЭСР, для которых данные по ППС были доступны в 2011-2013 годах: Австрия, Чешская Республика, Эстония, Финляндия, Франция, Германии, Венгрии, Исландии, Ирландии, Италии, Люксембурга, Нидерландов, Норвегии, Польши, Португалии, Словения, Испания, Швеция, Швейцария и Соединенное Королевство. Среднее значение валового внутреннего продукта за соответствующий период конвертируется в общую валюту (доллары США) и корректируется с учетом различных покупательных способностей национальных валют в ППС составляет 41 224 долл. США в 2013 году для 20 стран ОЭСР. Соответствующий показатель для Южной Африки составляет 12 891 долл. США.</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Вторая сравнительная группа для бенчмаркинга включает подмножество из семи выбранных стран из первой группы на основе валового внутреннего продукта (ВВП) на душу населения по уровню, близкому к уровню анализируемой страны (Южной Африки): Чешская Республика, Эстония, Венгрия, Польша, Португалия, Словения и Испания. Среднее значение ВВП конвертируется в общую валюту (доллары США) и корректируется с учетом различных покупательных способностей национальных валют в ППС составляет 27 323 долл. США в 2013 году для семи стран.</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xml:space="preserve">Оценки ППС используются  для преобразования расходов по совокупности (например, по состоянию здоровья) и ВВП разных стран в </w:t>
      </w:r>
      <w:r w:rsidRPr="00A14096">
        <w:rPr>
          <w:rFonts w:ascii="Times New Roman" w:hAnsi="Times New Roman" w:cs="Times New Roman"/>
          <w:bCs/>
          <w:sz w:val="28"/>
          <w:szCs w:val="28"/>
        </w:rPr>
        <w:lastRenderedPageBreak/>
        <w:t>реальные расходы. Величины расходов реальны, потому что в процессе преобразования в общую валюту, они оцениваются на едином уровне цен и поэтому отражают только различия в объемах, приобретенных в странах. ППС и реальные расходы обеспечивают меры по цене и объему, необходимые для международных сопоставлений. Необходимо учесть, что подобные исследования сравнивают только уровни цен. Уровни цен зависят от обменных курсов и могут быть подвержены значительным колебаниям в зависимости от колебаний обменных курсов и поэтому должны быть интерпретированы, учитывая условия на местном валютном рынке.</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Альтернативный подход к оценке расходов на здравоохранение на основании межстрановых сопоставлений с использованием ППС заключается, по мнению ряда исследователей (Insight, 2014), в использовании валового национального дохода (ВНД), вместо ВВП, что дает информацию о доступе к частным медицинским услугам.</w:t>
      </w:r>
    </w:p>
    <w:p w:rsidR="002D35F3" w:rsidRDefault="005B1A42" w:rsidP="002D35F3">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Подход с использованием ВВП позволяет охватить большее число стран для сравнения и подразумевает, что медицинские услуги являются доступными для большей части населения.</w:t>
      </w:r>
    </w:p>
    <w:p w:rsidR="00AC437D" w:rsidRPr="00BA5D08" w:rsidRDefault="009728F4" w:rsidP="002D35F3">
      <w:pPr>
        <w:autoSpaceDE w:val="0"/>
        <w:autoSpaceDN w:val="0"/>
        <w:adjustRightInd w:val="0"/>
        <w:spacing w:after="0" w:line="240" w:lineRule="auto"/>
        <w:ind w:firstLine="709"/>
        <w:jc w:val="both"/>
        <w:rPr>
          <w:rFonts w:ascii="Times New Roman" w:hAnsi="Times New Roman" w:cs="Times New Roman"/>
          <w:bCs/>
          <w:sz w:val="28"/>
          <w:szCs w:val="28"/>
        </w:rPr>
      </w:pPr>
      <w:r w:rsidRPr="00BA5D08">
        <w:rPr>
          <w:rFonts w:ascii="Times New Roman" w:hAnsi="Times New Roman" w:cs="Times New Roman"/>
          <w:bCs/>
          <w:sz w:val="28"/>
          <w:szCs w:val="28"/>
        </w:rPr>
        <w:t>Для формирования репрезентативной выборки</w:t>
      </w:r>
      <w:r w:rsidR="003B08AE" w:rsidRPr="00BA5D08">
        <w:rPr>
          <w:rFonts w:ascii="Times New Roman" w:hAnsi="Times New Roman" w:cs="Times New Roman"/>
          <w:bCs/>
          <w:sz w:val="28"/>
          <w:szCs w:val="28"/>
        </w:rPr>
        <w:t>, необходимой для межстрановых сопоставлений Руководством по расчету паритетов покупательной способности Евростат и ОЭСР</w:t>
      </w:r>
      <w:r w:rsidR="00BA5D08" w:rsidRPr="00BA5D08">
        <w:rPr>
          <w:rFonts w:ascii="Times New Roman" w:hAnsi="Times New Roman" w:cs="Times New Roman"/>
          <w:bCs/>
          <w:sz w:val="28"/>
          <w:szCs w:val="28"/>
        </w:rPr>
        <w:t xml:space="preserve"> установлены типы случаев, необходимых для включения в выборку</w:t>
      </w:r>
      <w:r w:rsidR="00DE1D59">
        <w:rPr>
          <w:rFonts w:ascii="Times New Roman" w:hAnsi="Times New Roman" w:cs="Times New Roman"/>
          <w:bCs/>
          <w:sz w:val="28"/>
          <w:szCs w:val="28"/>
        </w:rPr>
        <w:t xml:space="preserve"> (таблица 3).</w:t>
      </w:r>
    </w:p>
    <w:p w:rsidR="005B1A42" w:rsidRPr="00A14096" w:rsidRDefault="002D35F3" w:rsidP="00367BEC">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 xml:space="preserve">Таблица 3. </w:t>
      </w:r>
      <w:r w:rsidR="005B1A42" w:rsidRPr="00A14096">
        <w:rPr>
          <w:rFonts w:ascii="Times New Roman" w:hAnsi="Times New Roman" w:cs="Times New Roman"/>
          <w:b/>
          <w:bCs/>
          <w:sz w:val="28"/>
          <w:szCs w:val="28"/>
        </w:rPr>
        <w:t>Типы случаев, используемые для международных сопоставлений со странами ОЭСР</w:t>
      </w:r>
    </w:p>
    <w:tbl>
      <w:tblPr>
        <w:tblStyle w:val="a3"/>
        <w:tblW w:w="0" w:type="auto"/>
        <w:tblLook w:val="04A0" w:firstRow="1" w:lastRow="0" w:firstColumn="1" w:lastColumn="0" w:noHBand="0" w:noVBand="1"/>
      </w:tblPr>
      <w:tblGrid>
        <w:gridCol w:w="9137"/>
      </w:tblGrid>
      <w:tr w:rsidR="00367BEC" w:rsidRPr="00A14096" w:rsidTr="00367BEC">
        <w:trPr>
          <w:trHeight w:val="27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S01 Аппендэктомия</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S02 Кесарево сечение</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S03 Холецистэктомия</w:t>
            </w:r>
          </w:p>
        </w:tc>
      </w:tr>
      <w:tr w:rsidR="00367BEC" w:rsidRPr="00A14096" w:rsidTr="00367BEC">
        <w:trPr>
          <w:trHeight w:val="27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S04 Колоректальная резекция</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S05 Шунтирование коронарной артерии</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S06 Диссектомия</w:t>
            </w:r>
          </w:p>
        </w:tc>
      </w:tr>
      <w:tr w:rsidR="00367BEC" w:rsidRPr="00A14096" w:rsidTr="00367BEC">
        <w:trPr>
          <w:trHeight w:val="27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S07 Эндартерэктомия</w:t>
            </w:r>
          </w:p>
        </w:tc>
      </w:tr>
      <w:tr w:rsidR="00367BEC" w:rsidRPr="00A14096" w:rsidTr="00367BEC">
        <w:trPr>
          <w:trHeight w:val="345"/>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S08 Замена тазобедренного сустава: общая и частичная</w:t>
            </w:r>
          </w:p>
        </w:tc>
      </w:tr>
      <w:tr w:rsidR="00367BEC" w:rsidRPr="00A14096" w:rsidTr="00367BEC">
        <w:trPr>
          <w:trHeight w:val="28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S09</w:t>
            </w:r>
            <w:r w:rsidRPr="00A14096">
              <w:rPr>
                <w:rFonts w:ascii="Times New Roman" w:hAnsi="Times New Roman" w:cs="Times New Roman"/>
                <w:bCs/>
                <w:sz w:val="24"/>
                <w:szCs w:val="24"/>
              </w:rPr>
              <w:t>Гистерэктомия: брюшная или вагинальная</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S10 Замена коленного сустава</w:t>
            </w:r>
          </w:p>
        </w:tc>
      </w:tr>
      <w:tr w:rsidR="00367BEC" w:rsidRPr="00A14096" w:rsidTr="00367BEC">
        <w:trPr>
          <w:trHeight w:val="27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S11 Мастэктомия</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S12 Открытая простатэктомия</w:t>
            </w:r>
          </w:p>
        </w:tc>
      </w:tr>
      <w:tr w:rsidR="00367BEC" w:rsidRPr="00A14096" w:rsidTr="00367BEC">
        <w:trPr>
          <w:trHeight w:val="283"/>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S13</w:t>
            </w:r>
            <w:r w:rsidRPr="00A14096">
              <w:rPr>
                <w:rFonts w:ascii="Times New Roman" w:hAnsi="Times New Roman" w:cs="Times New Roman"/>
                <w:bCs/>
                <w:sz w:val="24"/>
                <w:szCs w:val="24"/>
              </w:rPr>
              <w:t>Чрескожная транслюминальная коронарная ангиопластика</w:t>
            </w:r>
          </w:p>
        </w:tc>
      </w:tr>
      <w:tr w:rsidR="00367BEC" w:rsidRPr="00A14096" w:rsidTr="00367BEC">
        <w:trPr>
          <w:trHeight w:val="27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S14 Периферийный сосудистый обход</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S15 Ремонт паховой грыжи</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S16 Тиреоидэктомия</w:t>
            </w:r>
          </w:p>
        </w:tc>
      </w:tr>
      <w:tr w:rsidR="00367BEC" w:rsidRPr="00A14096" w:rsidTr="00367BEC">
        <w:trPr>
          <w:trHeight w:val="331"/>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S17</w:t>
            </w:r>
            <w:r w:rsidRPr="00A14096">
              <w:rPr>
                <w:rFonts w:ascii="Times New Roman" w:hAnsi="Times New Roman" w:cs="Times New Roman"/>
                <w:bCs/>
                <w:sz w:val="24"/>
                <w:szCs w:val="24"/>
              </w:rPr>
              <w:t>Трансуретральная резекция предстательной железы</w:t>
            </w:r>
          </w:p>
        </w:tc>
      </w:tr>
      <w:tr w:rsidR="00367BEC" w:rsidRPr="00A14096" w:rsidTr="00367BEC">
        <w:trPr>
          <w:trHeight w:val="339"/>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S18 Артроскопическое удаление мениска колена</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S19 Процедуры линз и катаракты</w:t>
            </w:r>
          </w:p>
        </w:tc>
      </w:tr>
      <w:tr w:rsidR="00367BEC" w:rsidRPr="00A14096" w:rsidTr="00367BEC">
        <w:trPr>
          <w:trHeight w:val="27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S20 Лигирование и зачистка варикозных вен - нижняя конечность</w:t>
            </w:r>
          </w:p>
        </w:tc>
      </w:tr>
      <w:tr w:rsidR="00367BEC" w:rsidRPr="00A14096" w:rsidTr="00367BEC">
        <w:trPr>
          <w:trHeight w:val="250"/>
        </w:trPr>
        <w:tc>
          <w:tcPr>
            <w:tcW w:w="9137" w:type="dxa"/>
          </w:tcPr>
          <w:p w:rsidR="00367BEC" w:rsidRPr="00A14096" w:rsidRDefault="00367BEC" w:rsidP="00367BEC">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S21 Тонзилэктомия и / или аденоидэктомия</w:t>
            </w:r>
          </w:p>
        </w:tc>
      </w:tr>
    </w:tbl>
    <w:p w:rsidR="005B1A42" w:rsidRPr="00A14096" w:rsidRDefault="005B1A42" w:rsidP="00FD4D41">
      <w:pPr>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xml:space="preserve">Данные типы случаев приняты в качестве стандартной выборки для обследования ППС, принятой методологическими указаниями по расчету </w:t>
      </w:r>
      <w:r w:rsidRPr="00A14096">
        <w:rPr>
          <w:rFonts w:ascii="Times New Roman" w:hAnsi="Times New Roman" w:cs="Times New Roman"/>
          <w:bCs/>
          <w:sz w:val="28"/>
          <w:szCs w:val="28"/>
        </w:rPr>
        <w:lastRenderedPageBreak/>
        <w:t>ППС от ОЭСР (Eurostat-OECD Methodological Manual on Purchasing Power Parities, стр 161, пункт 7.27)</w:t>
      </w:r>
    </w:p>
    <w:p w:rsidR="005B1A42" w:rsidRPr="00A14096" w:rsidRDefault="005B1A42" w:rsidP="00FD4D41">
      <w:pPr>
        <w:spacing w:after="0" w:line="240" w:lineRule="auto"/>
        <w:ind w:firstLine="709"/>
        <w:jc w:val="both"/>
        <w:rPr>
          <w:rFonts w:ascii="Times New Roman" w:hAnsi="Times New Roman" w:cs="Times New Roman"/>
          <w:b/>
          <w:bCs/>
          <w:sz w:val="28"/>
          <w:szCs w:val="28"/>
          <w:lang w:val="en-US"/>
        </w:rPr>
      </w:pPr>
      <w:r w:rsidRPr="00A14096">
        <w:rPr>
          <w:rFonts w:ascii="Times New Roman" w:hAnsi="Times New Roman" w:cs="Times New Roman"/>
          <w:b/>
          <w:bCs/>
          <w:sz w:val="28"/>
          <w:szCs w:val="28"/>
          <w:lang w:val="en-US"/>
        </w:rPr>
        <w:t xml:space="preserve">«To be selected for the survey, case types had to be common procedures or diagnoses and account for a significant percentage of hospital expenditure. In addition, surgical case types had to be procedures that would be the principal procedure within one hospitalisation and medical case types had to be for conditions that were clearly identifiable. The case types meeting these criteria that have been selected for the survey are listed in Box 7.6.» </w:t>
      </w:r>
    </w:p>
    <w:p w:rsidR="00DE1D59" w:rsidRDefault="0023374C" w:rsidP="00FD4D4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Перевод предыдущего абзаца: </w:t>
      </w:r>
      <w:r w:rsidR="005B1A42" w:rsidRPr="00A14096">
        <w:rPr>
          <w:rFonts w:ascii="Times New Roman" w:hAnsi="Times New Roman" w:cs="Times New Roman"/>
          <w:bCs/>
          <w:sz w:val="28"/>
          <w:szCs w:val="28"/>
        </w:rPr>
        <w:t xml:space="preserve">«Для того, чтобы быть отобранными для обзора, типы случаев </w:t>
      </w:r>
      <w:r w:rsidR="005B1A42" w:rsidRPr="00DE1D59">
        <w:rPr>
          <w:rFonts w:ascii="Times New Roman" w:hAnsi="Times New Roman" w:cs="Times New Roman"/>
          <w:b/>
          <w:bCs/>
          <w:sz w:val="28"/>
          <w:szCs w:val="28"/>
        </w:rPr>
        <w:t>должны иметь общие процедуры или диагнозы и рассчитываться как значительный процент от расходов стационара</w:t>
      </w:r>
      <w:r w:rsidR="005B1A42" w:rsidRPr="00A14096">
        <w:rPr>
          <w:rFonts w:ascii="Times New Roman" w:hAnsi="Times New Roman" w:cs="Times New Roman"/>
          <w:bCs/>
          <w:sz w:val="28"/>
          <w:szCs w:val="28"/>
        </w:rPr>
        <w:t>. Дополнительно, хирургические типы случаев должны были быть процедурами, которые были бы основной процедурой в рамках одной госпитализации, а типы случаев должны быть для условий, которые были четко идентифицированы</w:t>
      </w:r>
      <w:r w:rsidR="00DE1D59">
        <w:rPr>
          <w:rFonts w:ascii="Times New Roman" w:hAnsi="Times New Roman" w:cs="Times New Roman"/>
          <w:bCs/>
          <w:sz w:val="28"/>
          <w:szCs w:val="28"/>
        </w:rPr>
        <w:t>». Под расходами стационара в данном случае подразумеваются сл</w:t>
      </w:r>
      <w:r w:rsidR="00915215">
        <w:rPr>
          <w:rFonts w:ascii="Times New Roman" w:hAnsi="Times New Roman" w:cs="Times New Roman"/>
          <w:bCs/>
          <w:sz w:val="28"/>
          <w:szCs w:val="28"/>
        </w:rPr>
        <w:t>едующие статьи затрат (таблица 4</w:t>
      </w:r>
      <w:r w:rsidR="00DE1D59">
        <w:rPr>
          <w:rFonts w:ascii="Times New Roman" w:hAnsi="Times New Roman" w:cs="Times New Roman"/>
          <w:bCs/>
          <w:sz w:val="28"/>
          <w:szCs w:val="28"/>
        </w:rPr>
        <w:t>).</w:t>
      </w:r>
    </w:p>
    <w:p w:rsidR="005B1A42" w:rsidRPr="0009019C" w:rsidRDefault="00915215" w:rsidP="00DE1D59">
      <w:pPr>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Таблица 4</w:t>
      </w:r>
      <w:r w:rsidR="002D35F3">
        <w:rPr>
          <w:rFonts w:ascii="Times New Roman" w:hAnsi="Times New Roman" w:cs="Times New Roman"/>
          <w:b/>
          <w:bCs/>
          <w:sz w:val="28"/>
          <w:szCs w:val="28"/>
        </w:rPr>
        <w:t xml:space="preserve">. </w:t>
      </w:r>
      <w:r w:rsidR="005B1A42" w:rsidRPr="00A14096">
        <w:rPr>
          <w:rFonts w:ascii="Times New Roman" w:hAnsi="Times New Roman" w:cs="Times New Roman"/>
          <w:b/>
          <w:bCs/>
          <w:sz w:val="28"/>
          <w:szCs w:val="28"/>
        </w:rPr>
        <w:t xml:space="preserve">Виды расходов, покрываемые квазиценами </w:t>
      </w:r>
    </w:p>
    <w:p w:rsidR="005B1A42" w:rsidRPr="00A14096" w:rsidRDefault="005B1A42" w:rsidP="005B1A42">
      <w:pPr>
        <w:autoSpaceDE w:val="0"/>
        <w:autoSpaceDN w:val="0"/>
        <w:adjustRightInd w:val="0"/>
        <w:spacing w:after="0" w:line="240" w:lineRule="auto"/>
        <w:ind w:firstLine="709"/>
        <w:jc w:val="both"/>
        <w:rPr>
          <w:rFonts w:ascii="Times New Roman" w:hAnsi="Times New Roman" w:cs="Times New Roman"/>
          <w:bCs/>
          <w:sz w:val="28"/>
          <w:szCs w:val="28"/>
        </w:rPr>
      </w:pPr>
    </w:p>
    <w:tbl>
      <w:tblPr>
        <w:tblStyle w:val="a3"/>
        <w:tblW w:w="0" w:type="auto"/>
        <w:tblLook w:val="04A0" w:firstRow="1" w:lastRow="0" w:firstColumn="1" w:lastColumn="0" w:noHBand="0" w:noVBand="1"/>
      </w:tblPr>
      <w:tblGrid>
        <w:gridCol w:w="1795"/>
        <w:gridCol w:w="1981"/>
        <w:gridCol w:w="5569"/>
      </w:tblGrid>
      <w:tr w:rsidR="005B1A42" w:rsidRPr="00A14096" w:rsidTr="004F2F4B">
        <w:tc>
          <w:tcPr>
            <w:tcW w:w="1809" w:type="dxa"/>
            <w:vMerge w:val="restart"/>
            <w:vAlign w:val="center"/>
          </w:tcPr>
          <w:p w:rsidR="005B1A42" w:rsidRPr="00A14096" w:rsidRDefault="005B1A42" w:rsidP="004F2F4B">
            <w:pPr>
              <w:autoSpaceDE w:val="0"/>
              <w:autoSpaceDN w:val="0"/>
              <w:adjustRightInd w:val="0"/>
              <w:rPr>
                <w:rFonts w:ascii="Times New Roman" w:hAnsi="Times New Roman" w:cs="Times New Roman"/>
                <w:bCs/>
                <w:sz w:val="24"/>
                <w:szCs w:val="24"/>
              </w:rPr>
            </w:pPr>
            <w:r w:rsidRPr="00A14096">
              <w:rPr>
                <w:rFonts w:ascii="Times New Roman" w:hAnsi="Times New Roman" w:cs="Times New Roman"/>
                <w:bCs/>
                <w:sz w:val="24"/>
                <w:szCs w:val="24"/>
              </w:rPr>
              <w:t>Накладные расходы</w:t>
            </w:r>
          </w:p>
        </w:tc>
        <w:tc>
          <w:tcPr>
            <w:tcW w:w="1985" w:type="dxa"/>
            <w:vAlign w:val="center"/>
          </w:tcPr>
          <w:p w:rsidR="005B1A42" w:rsidRPr="00A14096" w:rsidRDefault="005B1A42" w:rsidP="004F2F4B">
            <w:pPr>
              <w:autoSpaceDE w:val="0"/>
              <w:autoSpaceDN w:val="0"/>
              <w:adjustRightInd w:val="0"/>
              <w:rPr>
                <w:rFonts w:ascii="Times New Roman" w:hAnsi="Times New Roman" w:cs="Times New Roman"/>
                <w:bCs/>
                <w:sz w:val="24"/>
                <w:szCs w:val="24"/>
              </w:rPr>
            </w:pPr>
            <w:r w:rsidRPr="00A14096">
              <w:rPr>
                <w:rFonts w:ascii="Times New Roman" w:hAnsi="Times New Roman" w:cs="Times New Roman"/>
                <w:bCs/>
                <w:sz w:val="24"/>
                <w:szCs w:val="24"/>
              </w:rPr>
              <w:t>Медицинская инфраструктура</w:t>
            </w:r>
          </w:p>
        </w:tc>
        <w:tc>
          <w:tcPr>
            <w:tcW w:w="5777" w:type="dxa"/>
          </w:tcPr>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Прачечная</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Стерилизация</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Транспортировка пациентов в больнице</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Продовольственное обслуживание больному</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Другое (включает перенос пациента</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вне больницы, транспорт персонала,</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транспортировка образцов / кровь)</w:t>
            </w:r>
          </w:p>
        </w:tc>
      </w:tr>
      <w:tr w:rsidR="005B1A42" w:rsidRPr="00A14096" w:rsidTr="004F2F4B">
        <w:tc>
          <w:tcPr>
            <w:tcW w:w="1809" w:type="dxa"/>
            <w:vMerge/>
          </w:tcPr>
          <w:p w:rsidR="005B1A42" w:rsidRPr="00A14096" w:rsidRDefault="005B1A42" w:rsidP="004F2F4B">
            <w:pPr>
              <w:autoSpaceDE w:val="0"/>
              <w:autoSpaceDN w:val="0"/>
              <w:adjustRightInd w:val="0"/>
              <w:jc w:val="both"/>
              <w:rPr>
                <w:rFonts w:ascii="Times New Roman" w:hAnsi="Times New Roman" w:cs="Times New Roman"/>
                <w:bCs/>
                <w:sz w:val="24"/>
                <w:szCs w:val="24"/>
              </w:rPr>
            </w:pPr>
          </w:p>
        </w:tc>
        <w:tc>
          <w:tcPr>
            <w:tcW w:w="1985" w:type="dxa"/>
            <w:vAlign w:val="center"/>
          </w:tcPr>
          <w:p w:rsidR="005B1A42" w:rsidRPr="00A14096" w:rsidRDefault="005B1A42" w:rsidP="004F2F4B">
            <w:pPr>
              <w:autoSpaceDE w:val="0"/>
              <w:autoSpaceDN w:val="0"/>
              <w:adjustRightInd w:val="0"/>
              <w:rPr>
                <w:rFonts w:ascii="Times New Roman" w:hAnsi="Times New Roman" w:cs="Times New Roman"/>
                <w:bCs/>
                <w:sz w:val="24"/>
                <w:szCs w:val="24"/>
              </w:rPr>
            </w:pPr>
            <w:r w:rsidRPr="00A14096">
              <w:rPr>
                <w:rFonts w:ascii="Times New Roman" w:hAnsi="Times New Roman" w:cs="Times New Roman"/>
                <w:bCs/>
                <w:sz w:val="24"/>
                <w:szCs w:val="24"/>
              </w:rPr>
              <w:t>Немедицинская инфраструктура</w:t>
            </w:r>
          </w:p>
        </w:tc>
        <w:tc>
          <w:tcPr>
            <w:tcW w:w="5777" w:type="dxa"/>
          </w:tcPr>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Административный персонал</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 xml:space="preserve">Уборка </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Безопасность</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Уход за прилежащей территорией</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Сотрудники справочной</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Связь</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Типография и канцтовары</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Аренда</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Налоги</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Электроэнергия</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Водообеспечение и водоотведение</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Утилизация отходов</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 xml:space="preserve">Услуги IT </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Строительство здания</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Техническое обслуживание оборудования</w:t>
            </w:r>
          </w:p>
        </w:tc>
      </w:tr>
      <w:tr w:rsidR="005B1A42" w:rsidRPr="00A14096" w:rsidTr="004F2F4B">
        <w:tc>
          <w:tcPr>
            <w:tcW w:w="1809" w:type="dxa"/>
          </w:tcPr>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Капитальные затраты</w:t>
            </w:r>
          </w:p>
        </w:tc>
        <w:tc>
          <w:tcPr>
            <w:tcW w:w="1985" w:type="dxa"/>
          </w:tcPr>
          <w:p w:rsidR="005B1A42" w:rsidRPr="00A14096" w:rsidRDefault="005B1A42" w:rsidP="004F2F4B">
            <w:pPr>
              <w:autoSpaceDE w:val="0"/>
              <w:autoSpaceDN w:val="0"/>
              <w:adjustRightInd w:val="0"/>
              <w:jc w:val="both"/>
              <w:rPr>
                <w:rFonts w:ascii="Times New Roman" w:hAnsi="Times New Roman" w:cs="Times New Roman"/>
                <w:bCs/>
                <w:sz w:val="24"/>
                <w:szCs w:val="24"/>
              </w:rPr>
            </w:pPr>
          </w:p>
        </w:tc>
        <w:tc>
          <w:tcPr>
            <w:tcW w:w="5777" w:type="dxa"/>
          </w:tcPr>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Потребление основного капитала</w:t>
            </w:r>
          </w:p>
        </w:tc>
      </w:tr>
      <w:tr w:rsidR="005B1A42" w:rsidRPr="00A14096" w:rsidTr="004F2F4B">
        <w:tc>
          <w:tcPr>
            <w:tcW w:w="1809" w:type="dxa"/>
            <w:vMerge w:val="restart"/>
            <w:vAlign w:val="center"/>
          </w:tcPr>
          <w:p w:rsidR="005B1A42" w:rsidRPr="00A14096" w:rsidRDefault="005B1A42" w:rsidP="004F2F4B">
            <w:pPr>
              <w:autoSpaceDE w:val="0"/>
              <w:autoSpaceDN w:val="0"/>
              <w:adjustRightInd w:val="0"/>
              <w:rPr>
                <w:rFonts w:ascii="Times New Roman" w:hAnsi="Times New Roman" w:cs="Times New Roman"/>
                <w:bCs/>
                <w:sz w:val="24"/>
                <w:szCs w:val="24"/>
              </w:rPr>
            </w:pPr>
            <w:r w:rsidRPr="00A14096">
              <w:rPr>
                <w:rFonts w:ascii="Times New Roman" w:hAnsi="Times New Roman" w:cs="Times New Roman"/>
                <w:bCs/>
                <w:sz w:val="24"/>
                <w:szCs w:val="24"/>
              </w:rPr>
              <w:t>Прямые затраты</w:t>
            </w:r>
          </w:p>
        </w:tc>
        <w:tc>
          <w:tcPr>
            <w:tcW w:w="1985" w:type="dxa"/>
            <w:vAlign w:val="center"/>
          </w:tcPr>
          <w:p w:rsidR="005B1A42" w:rsidRPr="00A14096" w:rsidRDefault="005B1A42" w:rsidP="004F2F4B">
            <w:pPr>
              <w:autoSpaceDE w:val="0"/>
              <w:autoSpaceDN w:val="0"/>
              <w:adjustRightInd w:val="0"/>
              <w:rPr>
                <w:rFonts w:ascii="Times New Roman" w:hAnsi="Times New Roman" w:cs="Times New Roman"/>
                <w:bCs/>
                <w:sz w:val="24"/>
                <w:szCs w:val="24"/>
              </w:rPr>
            </w:pPr>
            <w:r w:rsidRPr="00A14096">
              <w:rPr>
                <w:rFonts w:ascii="Times New Roman" w:hAnsi="Times New Roman" w:cs="Times New Roman"/>
                <w:bCs/>
                <w:sz w:val="24"/>
                <w:szCs w:val="24"/>
              </w:rPr>
              <w:t>Вознаграждения сотрудников</w:t>
            </w:r>
          </w:p>
        </w:tc>
        <w:tc>
          <w:tcPr>
            <w:tcW w:w="5777" w:type="dxa"/>
          </w:tcPr>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Медицинский персонал</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Сестринский персонал</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Технический персонал</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Административный персонал</w:t>
            </w:r>
          </w:p>
        </w:tc>
      </w:tr>
      <w:tr w:rsidR="005B1A42" w:rsidRPr="00A14096" w:rsidTr="004F2F4B">
        <w:tc>
          <w:tcPr>
            <w:tcW w:w="1809" w:type="dxa"/>
            <w:vMerge/>
          </w:tcPr>
          <w:p w:rsidR="005B1A42" w:rsidRPr="00A14096" w:rsidRDefault="005B1A42" w:rsidP="004F2F4B">
            <w:pPr>
              <w:autoSpaceDE w:val="0"/>
              <w:autoSpaceDN w:val="0"/>
              <w:adjustRightInd w:val="0"/>
              <w:jc w:val="both"/>
              <w:rPr>
                <w:rFonts w:ascii="Times New Roman" w:hAnsi="Times New Roman" w:cs="Times New Roman"/>
                <w:bCs/>
                <w:sz w:val="24"/>
                <w:szCs w:val="24"/>
              </w:rPr>
            </w:pPr>
          </w:p>
        </w:tc>
        <w:tc>
          <w:tcPr>
            <w:tcW w:w="1985" w:type="dxa"/>
            <w:vAlign w:val="center"/>
          </w:tcPr>
          <w:p w:rsidR="005B1A42" w:rsidRPr="00A14096" w:rsidRDefault="005B1A42" w:rsidP="004F2F4B">
            <w:pPr>
              <w:autoSpaceDE w:val="0"/>
              <w:autoSpaceDN w:val="0"/>
              <w:adjustRightInd w:val="0"/>
              <w:rPr>
                <w:rFonts w:ascii="Times New Roman" w:hAnsi="Times New Roman" w:cs="Times New Roman"/>
                <w:bCs/>
                <w:sz w:val="24"/>
                <w:szCs w:val="24"/>
              </w:rPr>
            </w:pPr>
            <w:r w:rsidRPr="00A14096">
              <w:rPr>
                <w:rFonts w:ascii="Times New Roman" w:hAnsi="Times New Roman" w:cs="Times New Roman"/>
                <w:bCs/>
                <w:sz w:val="24"/>
                <w:szCs w:val="24"/>
              </w:rPr>
              <w:t>Товары и услуги</w:t>
            </w:r>
          </w:p>
        </w:tc>
        <w:tc>
          <w:tcPr>
            <w:tcW w:w="5777" w:type="dxa"/>
          </w:tcPr>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Медицинское и хирургическое оборудование</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Лабораторное оборудование</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lastRenderedPageBreak/>
              <w:t>Одноразовые изделия (включая медицинские и хирургические)</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Лекарственные средства</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Медицинские газы</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Перевязочные изделия</w:t>
            </w:r>
          </w:p>
          <w:p w:rsidR="005B1A42" w:rsidRPr="00A14096" w:rsidRDefault="005B1A42" w:rsidP="004F2F4B">
            <w:pPr>
              <w:autoSpaceDE w:val="0"/>
              <w:autoSpaceDN w:val="0"/>
              <w:adjustRightInd w:val="0"/>
              <w:jc w:val="both"/>
              <w:rPr>
                <w:rFonts w:ascii="Times New Roman" w:hAnsi="Times New Roman" w:cs="Times New Roman"/>
                <w:bCs/>
                <w:sz w:val="24"/>
                <w:szCs w:val="24"/>
              </w:rPr>
            </w:pPr>
            <w:r w:rsidRPr="00A14096">
              <w:rPr>
                <w:rFonts w:ascii="Times New Roman" w:hAnsi="Times New Roman" w:cs="Times New Roman"/>
                <w:bCs/>
                <w:sz w:val="24"/>
                <w:szCs w:val="24"/>
              </w:rPr>
              <w:t>Изделия для протезирования</w:t>
            </w:r>
          </w:p>
        </w:tc>
      </w:tr>
    </w:tbl>
    <w:p w:rsidR="005227EF" w:rsidRDefault="005227EF" w:rsidP="005B1A42">
      <w:pPr>
        <w:autoSpaceDE w:val="0"/>
        <w:autoSpaceDN w:val="0"/>
        <w:adjustRightInd w:val="0"/>
        <w:spacing w:after="0" w:line="240" w:lineRule="auto"/>
        <w:ind w:firstLine="709"/>
        <w:jc w:val="both"/>
        <w:rPr>
          <w:rFonts w:ascii="Times New Roman" w:hAnsi="Times New Roman" w:cs="Times New Roman"/>
          <w:bCs/>
          <w:sz w:val="28"/>
          <w:szCs w:val="28"/>
        </w:rPr>
      </w:pPr>
    </w:p>
    <w:p w:rsidR="001F33C4" w:rsidRDefault="001F33C4" w:rsidP="005B1A42">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Таким образом, методика расчета паритета покупательной способности для двух стран (групп стран) предполагает следующие этапы</w:t>
      </w:r>
      <w:r w:rsidR="00A25911">
        <w:rPr>
          <w:rFonts w:ascii="Times New Roman" w:hAnsi="Times New Roman" w:cs="Times New Roman"/>
          <w:bCs/>
          <w:sz w:val="28"/>
          <w:szCs w:val="28"/>
        </w:rPr>
        <w:t xml:space="preserve">. </w:t>
      </w:r>
    </w:p>
    <w:p w:rsidR="007560D6" w:rsidRDefault="007560D6" w:rsidP="007560D6">
      <w:pPr>
        <w:pStyle w:val="a9"/>
        <w:numPr>
          <w:ilvl w:val="0"/>
          <w:numId w:val="3"/>
        </w:num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Участвующие страны должны представляют цены на наборы сопоставимых товарных групп, сформированных в соответствии с выборкой. Методика формирования выборки для каждой отрасли рассматривается  в Руководстве по оценке паритета покупательной способности ОЭСР (сектор «Здоровье» - глава 6). </w:t>
      </w:r>
    </w:p>
    <w:p w:rsidR="00DA06D7" w:rsidRDefault="00DA06D7" w:rsidP="007560D6">
      <w:pPr>
        <w:pStyle w:val="a9"/>
        <w:numPr>
          <w:ilvl w:val="0"/>
          <w:numId w:val="3"/>
        </w:num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Для оценки весов каждой страны, а также выбора базы сравнения формируются данные по валовому национальному продукту на душу населения.</w:t>
      </w:r>
    </w:p>
    <w:p w:rsidR="00DA06D7" w:rsidRDefault="00C2586B" w:rsidP="007560D6">
      <w:pPr>
        <w:pStyle w:val="a9"/>
        <w:numPr>
          <w:ilvl w:val="0"/>
          <w:numId w:val="3"/>
        </w:num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Формируются средне взвешенные цены на типы товаров/услуг, входящих в выборку для двух/групп стран.</w:t>
      </w:r>
    </w:p>
    <w:p w:rsidR="00C2586B" w:rsidRPr="00863163" w:rsidRDefault="00C2586B" w:rsidP="00863163">
      <w:pPr>
        <w:pStyle w:val="a9"/>
        <w:numPr>
          <w:ilvl w:val="0"/>
          <w:numId w:val="3"/>
        </w:num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Рассчитываются индексы Ласпейреса, Пааше и Фишера для оценки уровня цен по выбранным группам товаров/услуг.</w:t>
      </w:r>
      <w:r w:rsidR="00863163">
        <w:rPr>
          <w:rFonts w:ascii="Times New Roman" w:hAnsi="Times New Roman" w:cs="Times New Roman"/>
          <w:bCs/>
          <w:sz w:val="28"/>
          <w:szCs w:val="28"/>
        </w:rPr>
        <w:t xml:space="preserve"> Данные индексы выбраны по следующим причинам. </w:t>
      </w:r>
      <w:r w:rsidR="00863163" w:rsidRPr="00863163">
        <w:rPr>
          <w:rFonts w:ascii="Times New Roman" w:hAnsi="Times New Roman" w:cs="Times New Roman"/>
          <w:bCs/>
          <w:sz w:val="28"/>
          <w:szCs w:val="28"/>
        </w:rPr>
        <w:t>Во-первых,</w:t>
      </w:r>
      <w:r w:rsidR="00863163">
        <w:rPr>
          <w:rFonts w:ascii="Times New Roman" w:hAnsi="Times New Roman" w:cs="Times New Roman"/>
          <w:bCs/>
          <w:sz w:val="28"/>
          <w:szCs w:val="28"/>
        </w:rPr>
        <w:t xml:space="preserve"> </w:t>
      </w:r>
      <w:r w:rsidR="00863163" w:rsidRPr="00863163">
        <w:rPr>
          <w:rFonts w:ascii="Times New Roman" w:hAnsi="Times New Roman" w:cs="Times New Roman"/>
          <w:bCs/>
          <w:sz w:val="28"/>
          <w:szCs w:val="28"/>
        </w:rPr>
        <w:t>стандартные индексы Ласпейреса, Пааше и Фишера обычно используются для временных сравнений</w:t>
      </w:r>
      <w:r w:rsidR="00863163">
        <w:rPr>
          <w:rFonts w:ascii="Times New Roman" w:hAnsi="Times New Roman" w:cs="Times New Roman"/>
          <w:bCs/>
          <w:sz w:val="28"/>
          <w:szCs w:val="28"/>
        </w:rPr>
        <w:t xml:space="preserve">. </w:t>
      </w:r>
      <w:r w:rsidR="00863163" w:rsidRPr="00863163">
        <w:rPr>
          <w:rFonts w:ascii="Times New Roman" w:hAnsi="Times New Roman" w:cs="Times New Roman"/>
          <w:bCs/>
          <w:sz w:val="28"/>
          <w:szCs w:val="28"/>
        </w:rPr>
        <w:t>Временные индексы Ласпейреса, Пааше и Фишера имеют базовый период и</w:t>
      </w:r>
      <w:r w:rsidR="00863163">
        <w:rPr>
          <w:rFonts w:ascii="Times New Roman" w:hAnsi="Times New Roman" w:cs="Times New Roman"/>
          <w:bCs/>
          <w:sz w:val="28"/>
          <w:szCs w:val="28"/>
        </w:rPr>
        <w:t xml:space="preserve"> </w:t>
      </w:r>
      <w:r w:rsidR="00863163" w:rsidRPr="00863163">
        <w:rPr>
          <w:rFonts w:ascii="Times New Roman" w:hAnsi="Times New Roman" w:cs="Times New Roman"/>
          <w:bCs/>
          <w:sz w:val="28"/>
          <w:szCs w:val="28"/>
        </w:rPr>
        <w:t>текущий период, тогда как пространственные Ласпейры, Пааше и Фишер типа ППС имеют базовую страну</w:t>
      </w:r>
      <w:r w:rsidR="00863163">
        <w:rPr>
          <w:rFonts w:ascii="Times New Roman" w:hAnsi="Times New Roman" w:cs="Times New Roman"/>
          <w:bCs/>
          <w:sz w:val="28"/>
          <w:szCs w:val="28"/>
        </w:rPr>
        <w:t xml:space="preserve"> </w:t>
      </w:r>
      <w:r w:rsidR="00863163" w:rsidRPr="00863163">
        <w:rPr>
          <w:rFonts w:ascii="Times New Roman" w:hAnsi="Times New Roman" w:cs="Times New Roman"/>
          <w:bCs/>
          <w:sz w:val="28"/>
          <w:szCs w:val="28"/>
        </w:rPr>
        <w:t>и страной-партнером. Вторая причина заключается в том, что стандартный индекс Ласпейреса является взвешенным</w:t>
      </w:r>
      <w:r w:rsidR="00863163">
        <w:rPr>
          <w:rFonts w:ascii="Times New Roman" w:hAnsi="Times New Roman" w:cs="Times New Roman"/>
          <w:bCs/>
          <w:sz w:val="28"/>
          <w:szCs w:val="28"/>
        </w:rPr>
        <w:t xml:space="preserve"> </w:t>
      </w:r>
      <w:r w:rsidR="00D0580F">
        <w:rPr>
          <w:rFonts w:ascii="Times New Roman" w:hAnsi="Times New Roman" w:cs="Times New Roman"/>
          <w:bCs/>
          <w:sz w:val="28"/>
          <w:szCs w:val="28"/>
        </w:rPr>
        <w:t xml:space="preserve">арифметическим, тогда как индекс Пааше – </w:t>
      </w:r>
      <w:r w:rsidR="008D6DA3">
        <w:rPr>
          <w:rFonts w:ascii="Times New Roman" w:hAnsi="Times New Roman" w:cs="Times New Roman"/>
          <w:bCs/>
          <w:sz w:val="28"/>
          <w:szCs w:val="28"/>
        </w:rPr>
        <w:t xml:space="preserve">взвешенным </w:t>
      </w:r>
      <w:r w:rsidR="00D0580F">
        <w:rPr>
          <w:rFonts w:ascii="Times New Roman" w:hAnsi="Times New Roman" w:cs="Times New Roman"/>
          <w:bCs/>
          <w:sz w:val="28"/>
          <w:szCs w:val="28"/>
        </w:rPr>
        <w:t xml:space="preserve"> гармоническим, что при их перемножении дает средн</w:t>
      </w:r>
      <w:r w:rsidR="00A401C7">
        <w:rPr>
          <w:rFonts w:ascii="Times New Roman" w:hAnsi="Times New Roman" w:cs="Times New Roman"/>
          <w:bCs/>
          <w:sz w:val="28"/>
          <w:szCs w:val="28"/>
        </w:rPr>
        <w:t>юю геометрическую</w:t>
      </w:r>
      <w:r w:rsidR="00D0580F">
        <w:rPr>
          <w:rFonts w:ascii="Times New Roman" w:hAnsi="Times New Roman" w:cs="Times New Roman"/>
          <w:bCs/>
          <w:sz w:val="28"/>
          <w:szCs w:val="28"/>
        </w:rPr>
        <w:t xml:space="preserve"> взвешенную квазиоценку.</w:t>
      </w:r>
    </w:p>
    <w:p w:rsidR="00C2586B" w:rsidRDefault="00D17EF5" w:rsidP="007560D6">
      <w:pPr>
        <w:pStyle w:val="a9"/>
        <w:numPr>
          <w:ilvl w:val="0"/>
          <w:numId w:val="3"/>
        </w:num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Завершающим этапов формирования оценок является присвоение каждой товарной позиции </w:t>
      </w:r>
      <w:r>
        <w:rPr>
          <w:rFonts w:ascii="Times New Roman" w:hAnsi="Times New Roman" w:cs="Times New Roman"/>
          <w:bCs/>
          <w:sz w:val="28"/>
          <w:szCs w:val="28"/>
          <w:lang w:val="en-US"/>
        </w:rPr>
        <w:t>EKS</w:t>
      </w:r>
      <w:r w:rsidRPr="00D17EF5">
        <w:rPr>
          <w:rFonts w:ascii="Times New Roman" w:hAnsi="Times New Roman" w:cs="Times New Roman"/>
          <w:bCs/>
          <w:sz w:val="28"/>
          <w:szCs w:val="28"/>
        </w:rPr>
        <w:t xml:space="preserve"> </w:t>
      </w:r>
      <w:r>
        <w:rPr>
          <w:rFonts w:ascii="Times New Roman" w:hAnsi="Times New Roman" w:cs="Times New Roman"/>
          <w:bCs/>
          <w:sz w:val="28"/>
          <w:szCs w:val="28"/>
        </w:rPr>
        <w:t>– оценки. Для полностью репрезентативной выборки такая оценка</w:t>
      </w:r>
      <w:r w:rsidR="007F2466">
        <w:rPr>
          <w:rFonts w:ascii="Times New Roman" w:hAnsi="Times New Roman" w:cs="Times New Roman"/>
          <w:bCs/>
          <w:sz w:val="28"/>
          <w:szCs w:val="28"/>
        </w:rPr>
        <w:t xml:space="preserve"> для страны-партнера</w:t>
      </w:r>
      <w:r>
        <w:rPr>
          <w:rFonts w:ascii="Times New Roman" w:hAnsi="Times New Roman" w:cs="Times New Roman"/>
          <w:bCs/>
          <w:sz w:val="28"/>
          <w:szCs w:val="28"/>
        </w:rPr>
        <w:t xml:space="preserve"> представляет собой </w:t>
      </w:r>
      <w:r w:rsidR="007F2466">
        <w:rPr>
          <w:rFonts w:ascii="Times New Roman" w:hAnsi="Times New Roman" w:cs="Times New Roman"/>
          <w:bCs/>
          <w:sz w:val="28"/>
          <w:szCs w:val="28"/>
        </w:rPr>
        <w:t>среднегеометрическое между индексами Фишера базовой страны и страны- партнера. Данная оценка умножается на каждую товарную позицию в выборке страны-партнера и таким образом пересчитывает цены в национальной валюте в сопоставимый вид с базовой страной.</w:t>
      </w:r>
    </w:p>
    <w:p w:rsidR="007F2466" w:rsidRPr="007F2466" w:rsidRDefault="007F2466" w:rsidP="007F2466">
      <w:pPr>
        <w:autoSpaceDE w:val="0"/>
        <w:autoSpaceDN w:val="0"/>
        <w:adjustRightInd w:val="0"/>
        <w:spacing w:after="0" w:line="240" w:lineRule="auto"/>
        <w:ind w:left="709" w:firstLine="709"/>
        <w:jc w:val="both"/>
        <w:rPr>
          <w:rFonts w:ascii="Times New Roman" w:hAnsi="Times New Roman" w:cs="Times New Roman"/>
          <w:bCs/>
          <w:sz w:val="28"/>
          <w:szCs w:val="28"/>
        </w:rPr>
      </w:pPr>
      <w:r>
        <w:rPr>
          <w:rFonts w:ascii="Times New Roman" w:hAnsi="Times New Roman" w:cs="Times New Roman"/>
          <w:bCs/>
          <w:sz w:val="28"/>
          <w:szCs w:val="28"/>
        </w:rPr>
        <w:t>Пример применения оценки ППС, а также комплексный анализ выборки представлен далее в главе 2.</w:t>
      </w:r>
    </w:p>
    <w:p w:rsidR="003F0135" w:rsidRPr="00A14096" w:rsidRDefault="003F0135" w:rsidP="007F2466">
      <w:pPr>
        <w:ind w:firstLine="709"/>
        <w:rPr>
          <w:rFonts w:ascii="Times New Roman" w:hAnsi="Times New Roman" w:cs="Times New Roman"/>
          <w:bCs/>
          <w:sz w:val="28"/>
          <w:szCs w:val="28"/>
        </w:rPr>
      </w:pPr>
      <w:r>
        <w:rPr>
          <w:rFonts w:ascii="Times New Roman" w:hAnsi="Times New Roman" w:cs="Times New Roman"/>
          <w:b/>
          <w:sz w:val="28"/>
          <w:szCs w:val="28"/>
        </w:rPr>
        <w:t>Глава 2. Изучение расходов на нехирургические и хирургические типы случаев, оказываемых в стационаре</w:t>
      </w:r>
    </w:p>
    <w:p w:rsidR="005227EF" w:rsidRPr="00A14096" w:rsidRDefault="005C4E95" w:rsidP="005B1A42">
      <w:pPr>
        <w:autoSpaceDE w:val="0"/>
        <w:autoSpaceDN w:val="0"/>
        <w:adjustRightInd w:val="0"/>
        <w:spacing w:after="0" w:line="240" w:lineRule="auto"/>
        <w:ind w:firstLine="709"/>
        <w:jc w:val="both"/>
        <w:rPr>
          <w:rFonts w:ascii="Times New Roman" w:hAnsi="Times New Roman" w:cs="Times New Roman"/>
          <w:b/>
          <w:bCs/>
          <w:sz w:val="28"/>
          <w:szCs w:val="28"/>
        </w:rPr>
      </w:pPr>
      <w:r w:rsidRPr="00A14096">
        <w:rPr>
          <w:rFonts w:ascii="Times New Roman" w:hAnsi="Times New Roman" w:cs="Times New Roman"/>
          <w:b/>
          <w:bCs/>
          <w:sz w:val="28"/>
          <w:szCs w:val="28"/>
        </w:rPr>
        <w:lastRenderedPageBreak/>
        <w:t xml:space="preserve">2.1 </w:t>
      </w:r>
      <w:r w:rsidR="009E518A">
        <w:rPr>
          <w:rFonts w:ascii="Times New Roman" w:eastAsia="Times New Roman" w:hAnsi="Times New Roman" w:cs="Times New Roman"/>
          <w:b/>
          <w:sz w:val="28"/>
          <w:szCs w:val="28"/>
          <w:lang w:eastAsia="ru-RU"/>
        </w:rPr>
        <w:t xml:space="preserve">Анализ </w:t>
      </w:r>
      <w:r w:rsidR="00C90D99">
        <w:rPr>
          <w:rFonts w:ascii="Times New Roman" w:eastAsia="Times New Roman" w:hAnsi="Times New Roman" w:cs="Times New Roman"/>
          <w:b/>
          <w:sz w:val="28"/>
          <w:szCs w:val="28"/>
          <w:lang w:eastAsia="ru-RU"/>
        </w:rPr>
        <w:t>фактических расходов на пролеченные случаи по Казахстану</w:t>
      </w:r>
    </w:p>
    <w:p w:rsidR="00941EC1" w:rsidRPr="00A14096" w:rsidRDefault="00941EC1" w:rsidP="005B1A42">
      <w:pPr>
        <w:autoSpaceDE w:val="0"/>
        <w:autoSpaceDN w:val="0"/>
        <w:adjustRightInd w:val="0"/>
        <w:spacing w:after="0" w:line="240" w:lineRule="auto"/>
        <w:ind w:firstLine="709"/>
        <w:jc w:val="both"/>
        <w:rPr>
          <w:rFonts w:ascii="Times New Roman" w:hAnsi="Times New Roman" w:cs="Times New Roman"/>
          <w:bCs/>
          <w:sz w:val="28"/>
          <w:szCs w:val="28"/>
        </w:rPr>
      </w:pP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Всего пролеченных случаев в круглосуточном стационаре в 2017 году: 2 452 080 случаев на сумму 198,5 млрд.тенге, источник финансирования: республиканский бюджет, местный бюджет (сельское здравоохранение), онкология</w:t>
      </w:r>
      <w:r w:rsidR="00915215">
        <w:rPr>
          <w:rFonts w:ascii="Times New Roman" w:hAnsi="Times New Roman" w:cs="Times New Roman"/>
          <w:bCs/>
          <w:sz w:val="28"/>
          <w:szCs w:val="28"/>
        </w:rPr>
        <w:t xml:space="preserve"> (таблица 5</w:t>
      </w:r>
      <w:r w:rsidR="009D3D15">
        <w:rPr>
          <w:rFonts w:ascii="Times New Roman" w:hAnsi="Times New Roman" w:cs="Times New Roman"/>
          <w:bCs/>
          <w:sz w:val="28"/>
          <w:szCs w:val="28"/>
        </w:rPr>
        <w:t>)</w:t>
      </w:r>
      <w:r w:rsidRPr="00A14096">
        <w:rPr>
          <w:rFonts w:ascii="Times New Roman" w:hAnsi="Times New Roman" w:cs="Times New Roman"/>
          <w:bCs/>
          <w:sz w:val="28"/>
          <w:szCs w:val="28"/>
        </w:rPr>
        <w:t>.</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Всего пролеченных случаев в дневном стационаре в 2017 году – 1 392 252 случаев на сумму 59,9 млрд.тенге, источник финансирования: республиканский бюджет, местный бюджет (сельское здравоохранение), онкология.</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xml:space="preserve">Средняя длительность лечения по каждому пролеченному случаю определялась путем разницы между датой выписки и датой поступления пациента. Затем вычислялось среднее значение средней длительности лечения по каждой клинической группе ОЭСР и по совокупности клинических групп. </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Из общего количества пролеченных случаев, выборка по исследуемым кодам ОЭСР составила:</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нехирургические случаи госпитализации в круглосуточный стационар - 532 713 случаев, на сумму 77,7 млрд.тенге. Средняя длительность лечения – 9 койко-дней</w:t>
      </w:r>
      <w:r w:rsidR="00342CC6">
        <w:rPr>
          <w:rFonts w:ascii="Times New Roman" w:hAnsi="Times New Roman" w:cs="Times New Roman"/>
          <w:bCs/>
          <w:sz w:val="28"/>
          <w:szCs w:val="28"/>
        </w:rPr>
        <w:t xml:space="preserve"> (здесь и далее по нехирургическим типа</w:t>
      </w:r>
      <w:r w:rsidR="00A25911">
        <w:rPr>
          <w:rFonts w:ascii="Times New Roman" w:hAnsi="Times New Roman" w:cs="Times New Roman"/>
          <w:bCs/>
          <w:sz w:val="28"/>
          <w:szCs w:val="28"/>
        </w:rPr>
        <w:t>м случаев данные из приложения 1</w:t>
      </w:r>
      <w:r w:rsidR="00342CC6">
        <w:rPr>
          <w:rFonts w:ascii="Times New Roman" w:hAnsi="Times New Roman" w:cs="Times New Roman"/>
          <w:bCs/>
          <w:sz w:val="28"/>
          <w:szCs w:val="28"/>
        </w:rPr>
        <w:t>)</w:t>
      </w:r>
      <w:r w:rsidRPr="00A14096">
        <w:rPr>
          <w:rFonts w:ascii="Times New Roman" w:hAnsi="Times New Roman" w:cs="Times New Roman"/>
          <w:bCs/>
          <w:sz w:val="28"/>
          <w:szCs w:val="28"/>
        </w:rPr>
        <w:t>;</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хирургические случаи госпитализации в круглосуточный стационар - 216 243 случаев, на сумму 50 млрд.тенге. Средняя длительность лечения – 11 койко-дней</w:t>
      </w:r>
      <w:r w:rsidR="00342CC6">
        <w:rPr>
          <w:rFonts w:ascii="Times New Roman" w:hAnsi="Times New Roman" w:cs="Times New Roman"/>
          <w:bCs/>
          <w:sz w:val="28"/>
          <w:szCs w:val="28"/>
        </w:rPr>
        <w:t xml:space="preserve"> здесь и далее по нехирургическим типа</w:t>
      </w:r>
      <w:r w:rsidR="00A25911">
        <w:rPr>
          <w:rFonts w:ascii="Times New Roman" w:hAnsi="Times New Roman" w:cs="Times New Roman"/>
          <w:bCs/>
          <w:sz w:val="28"/>
          <w:szCs w:val="28"/>
        </w:rPr>
        <w:t>м случаев данные из приложения 2</w:t>
      </w:r>
      <w:r w:rsidR="00342CC6">
        <w:rPr>
          <w:rFonts w:ascii="Times New Roman" w:hAnsi="Times New Roman" w:cs="Times New Roman"/>
          <w:bCs/>
          <w:sz w:val="28"/>
          <w:szCs w:val="28"/>
        </w:rPr>
        <w:t>)</w:t>
      </w:r>
      <w:r w:rsidRPr="00A14096">
        <w:rPr>
          <w:rFonts w:ascii="Times New Roman" w:hAnsi="Times New Roman" w:cs="Times New Roman"/>
          <w:bCs/>
          <w:sz w:val="28"/>
          <w:szCs w:val="28"/>
        </w:rPr>
        <w:t>;</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xml:space="preserve">- хирургические случаи госпитализации в дневной стационар –3 926 случаев, на сумму 272,5 млрд.тенге. Средняя длительность лечения – 6 койко-дней. </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Расчет «квазицен» для государственного сектора не производился, т.к. используемые КЗГ являются тарифом для соответствующих случаев.</w:t>
      </w:r>
    </w:p>
    <w:p w:rsidR="00DC780D" w:rsidRDefault="00DC780D" w:rsidP="00941EC1">
      <w:pPr>
        <w:autoSpaceDE w:val="0"/>
        <w:autoSpaceDN w:val="0"/>
        <w:adjustRightInd w:val="0"/>
        <w:spacing w:after="0" w:line="240" w:lineRule="auto"/>
        <w:ind w:firstLine="709"/>
        <w:jc w:val="both"/>
        <w:rPr>
          <w:rFonts w:ascii="Times New Roman" w:hAnsi="Times New Roman" w:cs="Times New Roman"/>
          <w:bCs/>
          <w:sz w:val="28"/>
          <w:szCs w:val="28"/>
        </w:rPr>
      </w:pPr>
    </w:p>
    <w:p w:rsidR="00941EC1" w:rsidRPr="009C3519" w:rsidRDefault="00915215" w:rsidP="00941EC1">
      <w:pPr>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Таблица 5</w:t>
      </w:r>
      <w:r w:rsidR="009D3D15">
        <w:rPr>
          <w:rFonts w:ascii="Times New Roman" w:hAnsi="Times New Roman" w:cs="Times New Roman"/>
          <w:b/>
          <w:bCs/>
          <w:sz w:val="28"/>
          <w:szCs w:val="28"/>
        </w:rPr>
        <w:t>.</w:t>
      </w:r>
      <w:r w:rsidR="00DC780D" w:rsidRPr="009C3519">
        <w:rPr>
          <w:rFonts w:ascii="Times New Roman" w:hAnsi="Times New Roman" w:cs="Times New Roman"/>
          <w:b/>
          <w:bCs/>
          <w:sz w:val="28"/>
          <w:szCs w:val="28"/>
        </w:rPr>
        <w:t xml:space="preserve"> Фактические расходы на пролеченные случаи</w:t>
      </w:r>
    </w:p>
    <w:tbl>
      <w:tblPr>
        <w:tblStyle w:val="a3"/>
        <w:tblW w:w="0" w:type="auto"/>
        <w:jc w:val="center"/>
        <w:tblLook w:val="04A0" w:firstRow="1" w:lastRow="0" w:firstColumn="1" w:lastColumn="0" w:noHBand="0" w:noVBand="1"/>
      </w:tblPr>
      <w:tblGrid>
        <w:gridCol w:w="3920"/>
        <w:gridCol w:w="1675"/>
        <w:gridCol w:w="2100"/>
      </w:tblGrid>
      <w:tr w:rsidR="00DC780D" w:rsidRPr="00DC780D" w:rsidTr="00DC780D">
        <w:trPr>
          <w:trHeight w:val="900"/>
          <w:jc w:val="center"/>
        </w:trPr>
        <w:tc>
          <w:tcPr>
            <w:tcW w:w="392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 </w:t>
            </w:r>
          </w:p>
        </w:tc>
        <w:tc>
          <w:tcPr>
            <w:tcW w:w="1660" w:type="dxa"/>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t>Количество пролеченных случаев</w:t>
            </w:r>
          </w:p>
        </w:tc>
        <w:tc>
          <w:tcPr>
            <w:tcW w:w="2100" w:type="dxa"/>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t>Расходы, тенге</w:t>
            </w:r>
          </w:p>
        </w:tc>
      </w:tr>
      <w:tr w:rsidR="00DC780D" w:rsidRPr="00DC780D" w:rsidTr="00DC780D">
        <w:trPr>
          <w:trHeight w:val="6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Круглосуточный стационар, хирургические операции, гос.сектор</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216 243</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47 992 332 263</w:t>
            </w:r>
          </w:p>
        </w:tc>
      </w:tr>
      <w:tr w:rsidR="00DC780D" w:rsidRPr="00DC780D" w:rsidTr="00DC780D">
        <w:trPr>
          <w:trHeight w:val="6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Круглосуточный стационар, нехирургический профиль, гос.сектор</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532 713</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77 674 243 928</w:t>
            </w:r>
          </w:p>
        </w:tc>
      </w:tr>
      <w:tr w:rsidR="00DC780D" w:rsidRPr="00DC780D" w:rsidTr="00DC780D">
        <w:trPr>
          <w:trHeight w:val="15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Фактические данные по круглосуточному стационару, 2017 г. (республиканский бюджет + местный бюджет (сельское здравоохранение) +онкология)</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2 452 080</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198 532 352 616</w:t>
            </w:r>
          </w:p>
        </w:tc>
      </w:tr>
      <w:tr w:rsidR="00DC780D" w:rsidRPr="00DC780D" w:rsidTr="00DC780D">
        <w:trPr>
          <w:trHeight w:val="9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lastRenderedPageBreak/>
              <w:t>Доля исследуемой группы (по кодам ОЭСР) к фактическим данным 2017 года (ЭРСБ)</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t>31%</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t>63%</w:t>
            </w:r>
          </w:p>
        </w:tc>
      </w:tr>
      <w:tr w:rsidR="00DC780D" w:rsidRPr="00DC780D" w:rsidTr="00DC780D">
        <w:trPr>
          <w:trHeight w:val="6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Дневной стационар, хирургический профиль, гос.сектор</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3 926</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272 511 109</w:t>
            </w:r>
          </w:p>
        </w:tc>
      </w:tr>
      <w:tr w:rsidR="00DC780D" w:rsidRPr="00DC780D" w:rsidTr="00DC780D">
        <w:trPr>
          <w:trHeight w:val="15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Фактические данные по дневному стационару (при больнице и при АПП), 2017 г. (республиканский бюджет + местный бюджет (сельское здравоохранение))</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1 191 945</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50 918 919 399</w:t>
            </w:r>
          </w:p>
        </w:tc>
      </w:tr>
      <w:tr w:rsidR="00DC780D" w:rsidRPr="00DC780D" w:rsidTr="00DC780D">
        <w:trPr>
          <w:trHeight w:val="9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t>Доля исследуемой группы (по кодам ОЭСР) к фактическим данным 2017 года (ЭРСБ)</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t>0,3%</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
                <w:bCs/>
                <w:sz w:val="24"/>
                <w:szCs w:val="24"/>
              </w:rPr>
            </w:pPr>
            <w:r w:rsidRPr="00DC780D">
              <w:rPr>
                <w:rFonts w:ascii="Times New Roman" w:hAnsi="Times New Roman" w:cs="Times New Roman"/>
                <w:b/>
                <w:bCs/>
                <w:sz w:val="24"/>
                <w:szCs w:val="24"/>
              </w:rPr>
              <w:t>0,5%</w:t>
            </w:r>
          </w:p>
        </w:tc>
      </w:tr>
      <w:tr w:rsidR="00DC780D" w:rsidRPr="00DC780D" w:rsidTr="00DC780D">
        <w:trPr>
          <w:trHeight w:val="6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Круглосуточный стационар, хирургические операции, част.сектор</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51 077</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7 648 166 913</w:t>
            </w:r>
          </w:p>
        </w:tc>
      </w:tr>
      <w:tr w:rsidR="00DC780D" w:rsidRPr="00DC780D" w:rsidTr="00DC780D">
        <w:trPr>
          <w:trHeight w:val="900"/>
          <w:jc w:val="center"/>
        </w:trPr>
        <w:tc>
          <w:tcPr>
            <w:tcW w:w="3920" w:type="dxa"/>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Круглосуточный стационар, нехирургический профиль, част.сектор</w:t>
            </w:r>
          </w:p>
        </w:tc>
        <w:tc>
          <w:tcPr>
            <w:tcW w:w="166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51 077</w:t>
            </w:r>
          </w:p>
        </w:tc>
        <w:tc>
          <w:tcPr>
            <w:tcW w:w="2100" w:type="dxa"/>
            <w:noWrap/>
            <w:hideMark/>
          </w:tcPr>
          <w:p w:rsidR="00DC780D" w:rsidRPr="00DC780D" w:rsidRDefault="00DC780D" w:rsidP="00DC780D">
            <w:pPr>
              <w:autoSpaceDE w:val="0"/>
              <w:autoSpaceDN w:val="0"/>
              <w:adjustRightInd w:val="0"/>
              <w:jc w:val="both"/>
              <w:rPr>
                <w:rFonts w:ascii="Times New Roman" w:hAnsi="Times New Roman" w:cs="Times New Roman"/>
                <w:bCs/>
                <w:sz w:val="24"/>
                <w:szCs w:val="24"/>
              </w:rPr>
            </w:pPr>
            <w:r w:rsidRPr="00DC780D">
              <w:rPr>
                <w:rFonts w:ascii="Times New Roman" w:hAnsi="Times New Roman" w:cs="Times New Roman"/>
                <w:bCs/>
                <w:sz w:val="24"/>
                <w:szCs w:val="24"/>
              </w:rPr>
              <w:t>7 648 166 913</w:t>
            </w:r>
          </w:p>
        </w:tc>
      </w:tr>
    </w:tbl>
    <w:p w:rsidR="00DC780D" w:rsidRDefault="00DC780D" w:rsidP="00941EC1">
      <w:pPr>
        <w:autoSpaceDE w:val="0"/>
        <w:autoSpaceDN w:val="0"/>
        <w:adjustRightInd w:val="0"/>
        <w:spacing w:after="0" w:line="240" w:lineRule="auto"/>
        <w:ind w:firstLine="709"/>
        <w:jc w:val="both"/>
        <w:rPr>
          <w:rFonts w:ascii="Times New Roman" w:hAnsi="Times New Roman" w:cs="Times New Roman"/>
          <w:bCs/>
          <w:sz w:val="28"/>
          <w:szCs w:val="28"/>
        </w:rPr>
      </w:pPr>
    </w:p>
    <w:p w:rsidR="00941EC1" w:rsidRPr="00A14096" w:rsidRDefault="00DC780D" w:rsidP="00BF3237">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 анализе расходов в частном секторе в качестве источника информации были использованы  </w:t>
      </w:r>
      <w:r w:rsidR="00941EC1" w:rsidRPr="00A14096">
        <w:rPr>
          <w:rFonts w:ascii="Times New Roman" w:hAnsi="Times New Roman" w:cs="Times New Roman"/>
          <w:bCs/>
          <w:sz w:val="28"/>
          <w:szCs w:val="28"/>
        </w:rPr>
        <w:t>форма №14 «Отчет о контингентах больных, выбыв</w:t>
      </w:r>
      <w:r>
        <w:rPr>
          <w:rFonts w:ascii="Times New Roman" w:hAnsi="Times New Roman" w:cs="Times New Roman"/>
          <w:bCs/>
          <w:sz w:val="28"/>
          <w:szCs w:val="28"/>
        </w:rPr>
        <w:t xml:space="preserve">ших из стационаров» за 2017 год и </w:t>
      </w:r>
      <w:r w:rsidR="00941EC1" w:rsidRPr="00A14096">
        <w:rPr>
          <w:rFonts w:ascii="Times New Roman" w:hAnsi="Times New Roman" w:cs="Times New Roman"/>
          <w:bCs/>
          <w:sz w:val="28"/>
          <w:szCs w:val="28"/>
        </w:rPr>
        <w:t>форма «СОЦФИН здрав» за 2017 год.</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Всего пролеченных случаев в 2017 году: 197 842 случаев на сумму 53,8 млрд.тенге (Таблица 2.5, строка «Стоимость оказанных услуг и реализованных товаров, произведенных своими силами»), источник финансирования: поступления частного сектора.</w:t>
      </w:r>
    </w:p>
    <w:p w:rsidR="00941EC1" w:rsidRPr="00BF3237" w:rsidRDefault="00941EC1" w:rsidP="00BF3237">
      <w:pPr>
        <w:autoSpaceDE w:val="0"/>
        <w:autoSpaceDN w:val="0"/>
        <w:adjustRightInd w:val="0"/>
        <w:spacing w:after="0" w:line="240" w:lineRule="auto"/>
        <w:ind w:firstLine="709"/>
        <w:jc w:val="both"/>
        <w:rPr>
          <w:rFonts w:ascii="Times New Roman" w:hAnsi="Times New Roman" w:cs="Times New Roman"/>
          <w:b/>
          <w:bCs/>
          <w:sz w:val="28"/>
          <w:szCs w:val="28"/>
        </w:rPr>
      </w:pPr>
      <w:r w:rsidRPr="00A14096">
        <w:rPr>
          <w:rFonts w:ascii="Times New Roman" w:hAnsi="Times New Roman" w:cs="Times New Roman"/>
          <w:bCs/>
          <w:sz w:val="28"/>
          <w:szCs w:val="28"/>
        </w:rPr>
        <w:t xml:space="preserve">Ввиду отсутствия детализированной информации о структуре пролеченных больных сделано допущение, что </w:t>
      </w:r>
      <w:r w:rsidRPr="00BF3237">
        <w:rPr>
          <w:rFonts w:ascii="Times New Roman" w:hAnsi="Times New Roman" w:cs="Times New Roman"/>
          <w:b/>
          <w:bCs/>
          <w:sz w:val="28"/>
          <w:szCs w:val="28"/>
        </w:rPr>
        <w:t>средняя длительность лечения идентична государственному сектору.</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Распределение количества случаев между нехирургическими и хирургическими случаями госпитализации в круглосуточный стационар осуществлялась следующим образом.</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Общее количество пролеченных, согласно форме №14 «Отчет о контингентах больных, выбывших из стационаров» за 2017 год = 197 842 случаев, что составляет 7% от общего количества пролеченных больных в круглосуточных стационарах.</w:t>
      </w:r>
    </w:p>
    <w:p w:rsidR="00941EC1" w:rsidRPr="00A14096" w:rsidRDefault="00941EC1" w:rsidP="00BF3237">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Учитывая «неглубокий» уровень детализации, не соответствующий таковому в ИС «ЭРСБ», низкую долю пролеченных случаев в частном секторе, количество пролеченных случаев в разрезе клинических групп ОЭСР, а также расчет «квазицен» осуществлялось путем комбинации допущений и фактической численности.</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Нехирургические случаи госпитализации в круглосуточный стационар – 51 077 случаев:</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по 4 клиническим группам ОЭСР (М01,02,03,06) в форме №14 имеется приемлемый уровень детализации, фактическое количество – 34 949 случаев;</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lastRenderedPageBreak/>
        <w:t>по 3 клиническим группам ОЭСР (М04,05,07) в форме №14 не имеется приемлемого уровня детализации, исчисленное количество – 16 128 случаев. Расчет произведен путем определения удельного веса числа пролеченных случаев клинической группы, входящей в определённый класс МКБ-10 от общего количества пролеченных случаев по всем кодам МКБ-10.</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xml:space="preserve">Хирургические случаи госпитализации в круглосуточный стационар –20 314 случаев, по всем клиническим группам ОЭСР в форме №14 не имеется приемлемого уровня детализации. </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Расчет исчисленного количества случаев – определение удельного веса числа хирургических операций клинической группы, входящей в определённую</w:t>
      </w:r>
      <w:r w:rsidR="002D35F3">
        <w:rPr>
          <w:rFonts w:ascii="Times New Roman" w:hAnsi="Times New Roman" w:cs="Times New Roman"/>
          <w:bCs/>
          <w:sz w:val="28"/>
          <w:szCs w:val="28"/>
        </w:rPr>
        <w:t xml:space="preserve"> </w:t>
      </w:r>
      <w:r w:rsidRPr="00A14096">
        <w:rPr>
          <w:rFonts w:ascii="Times New Roman" w:hAnsi="Times New Roman" w:cs="Times New Roman"/>
          <w:bCs/>
          <w:sz w:val="28"/>
          <w:szCs w:val="28"/>
        </w:rPr>
        <w:t>группу МКБ-9 от общего количества хирургических операций по всем кодам МКБ-9.</w:t>
      </w:r>
    </w:p>
    <w:p w:rsidR="00941EC1" w:rsidRPr="00A14096" w:rsidRDefault="00941EC1" w:rsidP="00BF3237">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Хирургические случаи госпитализации в дневной стационар – данные отсутствуют.</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Расчет суммарной «квазицены» в частном секторе осуществлялся на основании информации в отчетной форме «СОЦФИН здрав» за 2017 год.</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Общее количество пролеченных случаев в круглосуточном стационаре –197 842 случаев, в т.ч.:</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нехирургические случаи госпитализации в круглосуточный стационар – 51 077 случаев, или 26%;</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хирургические случаи госпитализации в круглосуточный стационар – 20 314 случаев, или 10%.</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Общая сумма реализованных услуг стационарной помощи – 53,8 млрд.тенге (Таблица 2.5, строка «Стоимость оказанных услуг и реализованных товаров, произведенных своими силами»), источник финансирования: поступления частного сектора в т.ч.;</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нехирургические случаи госпитализации в круглосуточный стационар –26%, или 14 млрд.тенге;</w:t>
      </w:r>
    </w:p>
    <w:p w:rsidR="00941EC1" w:rsidRPr="00A14096" w:rsidRDefault="00941EC1" w:rsidP="00941EC1">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хирургические случаи госпитализации в круглосуточный стационар – 20 314 случаев, или 10% или 5,4 млрд.тенге.</w:t>
      </w:r>
    </w:p>
    <w:p w:rsidR="00941EC1" w:rsidRPr="00A14096" w:rsidRDefault="00941EC1" w:rsidP="005B1A42">
      <w:pPr>
        <w:autoSpaceDE w:val="0"/>
        <w:autoSpaceDN w:val="0"/>
        <w:adjustRightInd w:val="0"/>
        <w:spacing w:after="0" w:line="240" w:lineRule="auto"/>
        <w:ind w:firstLine="709"/>
        <w:jc w:val="both"/>
        <w:rPr>
          <w:rFonts w:ascii="Times New Roman" w:hAnsi="Times New Roman" w:cs="Times New Roman"/>
          <w:bCs/>
          <w:sz w:val="28"/>
          <w:szCs w:val="28"/>
        </w:rPr>
      </w:pPr>
    </w:p>
    <w:p w:rsidR="00941EC1" w:rsidRPr="00A14096" w:rsidRDefault="00941EC1" w:rsidP="005B1A42">
      <w:pPr>
        <w:autoSpaceDE w:val="0"/>
        <w:autoSpaceDN w:val="0"/>
        <w:adjustRightInd w:val="0"/>
        <w:spacing w:after="0" w:line="240" w:lineRule="auto"/>
        <w:ind w:firstLine="709"/>
        <w:jc w:val="both"/>
        <w:rPr>
          <w:rFonts w:ascii="Times New Roman" w:hAnsi="Times New Roman" w:cs="Times New Roman"/>
          <w:bCs/>
          <w:sz w:val="28"/>
          <w:szCs w:val="28"/>
        </w:rPr>
      </w:pPr>
    </w:p>
    <w:p w:rsidR="005C4E95" w:rsidRPr="009E518A" w:rsidRDefault="005C4E95" w:rsidP="009E518A">
      <w:pPr>
        <w:tabs>
          <w:tab w:val="left" w:pos="284"/>
        </w:tabs>
        <w:spacing w:after="0" w:line="240" w:lineRule="auto"/>
        <w:ind w:firstLine="284"/>
        <w:jc w:val="both"/>
        <w:rPr>
          <w:rFonts w:ascii="Times New Roman" w:eastAsia="Times New Roman" w:hAnsi="Times New Roman" w:cs="Times New Roman"/>
          <w:b/>
          <w:sz w:val="28"/>
          <w:szCs w:val="28"/>
          <w:lang w:eastAsia="ru-RU"/>
        </w:rPr>
      </w:pPr>
      <w:r w:rsidRPr="00A14096">
        <w:rPr>
          <w:rFonts w:ascii="Times New Roman" w:hAnsi="Times New Roman" w:cs="Times New Roman"/>
          <w:b/>
          <w:bCs/>
          <w:sz w:val="28"/>
          <w:szCs w:val="28"/>
        </w:rPr>
        <w:t xml:space="preserve">2.2 </w:t>
      </w:r>
      <w:r w:rsidR="009E518A">
        <w:rPr>
          <w:rFonts w:ascii="Times New Roman" w:eastAsia="Times New Roman" w:hAnsi="Times New Roman" w:cs="Times New Roman"/>
          <w:b/>
          <w:sz w:val="28"/>
          <w:szCs w:val="28"/>
          <w:lang w:eastAsia="ru-RU"/>
        </w:rPr>
        <w:t>Сравнительный анализ расходов с применением средне взвешенных цен</w:t>
      </w:r>
      <w:r w:rsidR="001378FA" w:rsidRPr="00A14096">
        <w:rPr>
          <w:rFonts w:ascii="Times New Roman" w:hAnsi="Times New Roman" w:cs="Times New Roman"/>
          <w:b/>
          <w:bCs/>
          <w:sz w:val="28"/>
          <w:szCs w:val="28"/>
        </w:rPr>
        <w:tab/>
      </w:r>
    </w:p>
    <w:p w:rsidR="00941EC1" w:rsidRPr="00A14096" w:rsidRDefault="00941EC1" w:rsidP="005B1A42">
      <w:pPr>
        <w:autoSpaceDE w:val="0"/>
        <w:autoSpaceDN w:val="0"/>
        <w:adjustRightInd w:val="0"/>
        <w:spacing w:after="0" w:line="240" w:lineRule="auto"/>
        <w:ind w:firstLine="709"/>
        <w:jc w:val="both"/>
        <w:rPr>
          <w:rFonts w:ascii="Times New Roman" w:hAnsi="Times New Roman" w:cs="Times New Roman"/>
          <w:bCs/>
          <w:sz w:val="28"/>
          <w:szCs w:val="28"/>
        </w:rPr>
      </w:pPr>
    </w:p>
    <w:p w:rsidR="00941EC1" w:rsidRDefault="00941EC1" w:rsidP="005B1A42">
      <w:pPr>
        <w:autoSpaceDE w:val="0"/>
        <w:autoSpaceDN w:val="0"/>
        <w:adjustRightInd w:val="0"/>
        <w:spacing w:after="0" w:line="240" w:lineRule="auto"/>
        <w:ind w:firstLine="709"/>
        <w:jc w:val="both"/>
        <w:rPr>
          <w:rFonts w:ascii="Times New Roman" w:hAnsi="Times New Roman" w:cs="Times New Roman"/>
          <w:bCs/>
          <w:sz w:val="28"/>
          <w:szCs w:val="28"/>
        </w:rPr>
      </w:pPr>
      <w:r w:rsidRPr="00A14096">
        <w:rPr>
          <w:rFonts w:ascii="Times New Roman" w:hAnsi="Times New Roman" w:cs="Times New Roman"/>
          <w:bCs/>
          <w:sz w:val="28"/>
          <w:szCs w:val="28"/>
        </w:rPr>
        <w:t xml:space="preserve">Анализ расходов на здравоохранение осуществлен на основании рекомендаций </w:t>
      </w:r>
      <w:r w:rsidR="00800E23" w:rsidRPr="00A14096">
        <w:rPr>
          <w:rFonts w:ascii="Times New Roman" w:hAnsi="Times New Roman" w:cs="Times New Roman"/>
          <w:bCs/>
          <w:sz w:val="28"/>
          <w:szCs w:val="28"/>
        </w:rPr>
        <w:t xml:space="preserve">ОЭСР, изложенных </w:t>
      </w:r>
      <w:r w:rsidR="009F610E" w:rsidRPr="00A14096">
        <w:rPr>
          <w:rFonts w:ascii="Times New Roman" w:hAnsi="Times New Roman" w:cs="Times New Roman"/>
          <w:bCs/>
          <w:sz w:val="28"/>
          <w:szCs w:val="28"/>
        </w:rPr>
        <w:t>в Методическом пособии Евростат (Eurostat-OECD Methodological Manual on Purchasing Power Parities, 2012)</w:t>
      </w:r>
      <w:r w:rsidR="00A14096" w:rsidRPr="00A14096">
        <w:rPr>
          <w:rFonts w:ascii="Times New Roman" w:hAnsi="Times New Roman" w:cs="Times New Roman"/>
          <w:bCs/>
          <w:sz w:val="28"/>
          <w:szCs w:val="28"/>
        </w:rPr>
        <w:t>. Детально, данные рекомендации рассмотрены в главе 1 к настоящему отчету.</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В настоящее время в мировой практике используется единственный метод, который одновременно удовлетворяет критериям клинической и экономической однородности – клинико-затратные группы (diagnosis</w:t>
      </w:r>
      <w:r w:rsidR="003E0240">
        <w:rPr>
          <w:rFonts w:ascii="Times New Roman" w:hAnsi="Times New Roman" w:cs="Times New Roman"/>
          <w:bCs/>
          <w:sz w:val="28"/>
          <w:szCs w:val="28"/>
        </w:rPr>
        <w:t xml:space="preserve"> </w:t>
      </w:r>
      <w:r w:rsidRPr="00A032AB">
        <w:rPr>
          <w:rFonts w:ascii="Times New Roman" w:hAnsi="Times New Roman" w:cs="Times New Roman"/>
          <w:bCs/>
          <w:sz w:val="28"/>
          <w:szCs w:val="28"/>
        </w:rPr>
        <w:t>related</w:t>
      </w:r>
      <w:r w:rsidR="003E0240">
        <w:rPr>
          <w:rFonts w:ascii="Times New Roman" w:hAnsi="Times New Roman" w:cs="Times New Roman"/>
          <w:bCs/>
          <w:sz w:val="28"/>
          <w:szCs w:val="28"/>
        </w:rPr>
        <w:t xml:space="preserve"> </w:t>
      </w:r>
      <w:r w:rsidRPr="00A032AB">
        <w:rPr>
          <w:rFonts w:ascii="Times New Roman" w:hAnsi="Times New Roman" w:cs="Times New Roman"/>
          <w:bCs/>
          <w:sz w:val="28"/>
          <w:szCs w:val="28"/>
        </w:rPr>
        <w:t>group, casemix).</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lastRenderedPageBreak/>
        <w:t>Впервые КЗГ были разработаны и внедрены в США в 1983 г. как альтернатива оплате фактических расходов по государственной программе “Медикэр”. Исходной медико-экономической информацией стали 467 клинико-статистических групп. В качестве критериев их выделения выбраны, во-первых, однородность заболеваний и однотипность лечебно-диагностических процедур, во-вторых, однородность объемов и состава использованных при лечении ресурсов.</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Детальные расчеты были сделаны специалистами Йельского университета на основе анализа свыше 700 тысяч историй болезни в 170 больницах. Рассчитана статистически значимые показатели затрат по диагностическим группам в больнице, регионе ив целом по стране. Средние расходы на один клинический диагноз были приняты за единицу, а затем определены отклонения от этого среднего показателя по каждой диагностической группе. Для каждой больницы был определен свой индекс структуры (case-mix) — отклонение от средней величины как результат специфики контингента ее пациентов.</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В дальнейшем КЗГ были внедрены во многих странах-членах ОЭСР под различными названиями:</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во Франции: GHM – Гомогенные группы заболеваний (Groupehomogenedemalades), с 2000-х годов они называются EfP (EffeuillageProgressif);</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в Великобритании: HRG – Родственные группы в здравоохранении (HealthcareRelatedGroup);</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в странах Северной Европы: Nord – Скандинавские КЗГ.</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Для обеспечения методологической точности, каждый из исходных параметров: клиническая однородность и экономическая однородность должны измеряться по единым стандартизированным подходам.</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В отношении клинической однородности,</w:t>
      </w:r>
      <w:r w:rsidR="0093334D">
        <w:rPr>
          <w:rFonts w:ascii="Times New Roman" w:hAnsi="Times New Roman" w:cs="Times New Roman"/>
          <w:bCs/>
          <w:sz w:val="28"/>
          <w:szCs w:val="28"/>
        </w:rPr>
        <w:t xml:space="preserve"> </w:t>
      </w:r>
      <w:r w:rsidRPr="00A032AB">
        <w:rPr>
          <w:rFonts w:ascii="Times New Roman" w:hAnsi="Times New Roman" w:cs="Times New Roman"/>
          <w:bCs/>
          <w:sz w:val="28"/>
          <w:szCs w:val="28"/>
        </w:rPr>
        <w:t>инструментом стандартизации выступает Международная статистическая классификация болезней и проблем, связанных со здоровьем 10-го пересмотра для кодировки всех случаев заболеваний, а также Международная статистическая классификация болезней и проблем, связанных со здоровьем 9-го пересмотра для кодировки хирургических операций (манипуляций).</w:t>
      </w:r>
    </w:p>
    <w:p w:rsidR="00A032AB" w:rsidRPr="00A032AB" w:rsidRDefault="00A032AB" w:rsidP="0057301F">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Экономическая однородность обеспечивается схожей структурой и объемом затрат, при этом ключевым индикатором, объединяющим клиническую и экономическую группировку, является средняя длительность лечения по однородным заболеваниям. В качестве инструмента стандартизации экономических параметров выступают различные стандарты финансового учета.</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 xml:space="preserve">В Республике Казахстан клинико-затратные группы введены в действие с 2012 года. </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 xml:space="preserve">Клиническая однородность обеспечивается классификаторами МКБ-9 и МКБ-10, при этом как государственные, так и частные организации </w:t>
      </w:r>
      <w:r w:rsidRPr="00A032AB">
        <w:rPr>
          <w:rFonts w:ascii="Times New Roman" w:hAnsi="Times New Roman" w:cs="Times New Roman"/>
          <w:bCs/>
          <w:sz w:val="28"/>
          <w:szCs w:val="28"/>
        </w:rPr>
        <w:lastRenderedPageBreak/>
        <w:t>предоставляют административную статистическую отчетность в Министерство здравоохранения на основе вышеуказанных классификаторов.</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Экономическая однородность обеспечивается следующим:</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 государственные и частные организации здравоохранения осуществляют бухгалтерский учет и последующее формирование управленческой отчетности на основе Международных стандартов финансовой отчетности или Национальных стандартов бухгалтерского учета, сопряженных с Единой бюджетной классификацией;</w:t>
      </w:r>
    </w:p>
    <w:p w:rsidR="00A032AB" w:rsidRPr="00A032AB" w:rsidRDefault="00A032AB" w:rsidP="004339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 все субъекты здравоохранения, вне зависимости от формы собственности, предоставляют регулярную государственную отчетность по форме «СОЦФИН здрав», в которой финансовые показатели, в том числе структура доходов и расходов респондента формируются на основе международного классификатора «Система национальных счетов» (1993 г., ОЭСР, Статотдел ООН, Евростат, МВФ, Всемирный банк).</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В этой связи, выборка случаев будет осуществляться:</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 по случаям лечения, оплаченных государственным бюджетом (или в государственных организациях) – на основании действующих клинико-затратных групп, из информационной системы «электронный регистр стационарных больных»;</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 по случаям лечения, оплаченных из негосударственных источников (или в частных организациях):</w:t>
      </w:r>
    </w:p>
    <w:p w:rsidR="00A032AB" w:rsidRPr="00A032AB" w:rsidRDefault="00A032AB" w:rsidP="00A032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шаг 1, на основании статистических данных, отраженных в форме №14 «Отчет о контингентах больных, выбывших из стационаров»;</w:t>
      </w:r>
    </w:p>
    <w:p w:rsidR="00A032AB" w:rsidRPr="00A032AB" w:rsidRDefault="00A032AB" w:rsidP="004339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шаг 2, путем соотнесения пролеченных случаев по кодам МКБ10/9 с соответствующими КЗГ.</w:t>
      </w:r>
    </w:p>
    <w:p w:rsidR="00A032AB" w:rsidRPr="00A032AB" w:rsidRDefault="00A032AB" w:rsidP="004339AB">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Формирование информации о количестве госпитализаций и средней продолжительности пребывания в каждом типе случаев и в целом в РК.</w:t>
      </w:r>
    </w:p>
    <w:p w:rsidR="004339AB" w:rsidRDefault="00A032AB" w:rsidP="0057301F">
      <w:pPr>
        <w:autoSpaceDE w:val="0"/>
        <w:autoSpaceDN w:val="0"/>
        <w:adjustRightInd w:val="0"/>
        <w:spacing w:after="0" w:line="240" w:lineRule="auto"/>
        <w:ind w:firstLine="709"/>
        <w:jc w:val="both"/>
        <w:rPr>
          <w:rFonts w:ascii="Times New Roman" w:hAnsi="Times New Roman" w:cs="Times New Roman"/>
          <w:bCs/>
          <w:sz w:val="28"/>
          <w:szCs w:val="28"/>
        </w:rPr>
      </w:pPr>
      <w:r w:rsidRPr="00A032AB">
        <w:rPr>
          <w:rFonts w:ascii="Times New Roman" w:hAnsi="Times New Roman" w:cs="Times New Roman"/>
          <w:bCs/>
          <w:sz w:val="28"/>
          <w:szCs w:val="28"/>
        </w:rPr>
        <w:t>Определение «квазицен» на каждый тип случая, охватывающих одни и те же виды затрат по структуре расходов, в разрезе медицинских организаций государственного и частного секторов</w:t>
      </w:r>
      <w:r>
        <w:rPr>
          <w:rFonts w:ascii="Times New Roman" w:hAnsi="Times New Roman" w:cs="Times New Roman"/>
          <w:bCs/>
          <w:sz w:val="28"/>
          <w:szCs w:val="28"/>
        </w:rPr>
        <w:t xml:space="preserve">. </w:t>
      </w:r>
      <w:r w:rsidRPr="00A032AB">
        <w:rPr>
          <w:rFonts w:ascii="Times New Roman" w:hAnsi="Times New Roman" w:cs="Times New Roman"/>
          <w:bCs/>
          <w:sz w:val="28"/>
          <w:szCs w:val="28"/>
        </w:rPr>
        <w:t xml:space="preserve">При необходимости определения «квазицены» отдельного случая, следует произвести обратный расчет от суммарной «квазицены» на количество пролеченных случаев с применением </w:t>
      </w:r>
      <w:r w:rsidR="00BC6912">
        <w:rPr>
          <w:rFonts w:ascii="Times New Roman" w:hAnsi="Times New Roman" w:cs="Times New Roman"/>
          <w:bCs/>
          <w:sz w:val="28"/>
          <w:szCs w:val="28"/>
        </w:rPr>
        <w:t>коэффициен</w:t>
      </w:r>
      <w:r w:rsidR="00915215">
        <w:rPr>
          <w:rFonts w:ascii="Times New Roman" w:hAnsi="Times New Roman" w:cs="Times New Roman"/>
          <w:bCs/>
          <w:sz w:val="28"/>
          <w:szCs w:val="28"/>
        </w:rPr>
        <w:t>та затратоемкости КЗГ (таблица 6</w:t>
      </w:r>
      <w:r w:rsidR="00BC6912">
        <w:rPr>
          <w:rFonts w:ascii="Times New Roman" w:hAnsi="Times New Roman" w:cs="Times New Roman"/>
          <w:bCs/>
          <w:sz w:val="28"/>
          <w:szCs w:val="28"/>
        </w:rPr>
        <w:t>).</w:t>
      </w:r>
    </w:p>
    <w:p w:rsidR="004339AB" w:rsidRDefault="004339AB" w:rsidP="008016BC">
      <w:pPr>
        <w:autoSpaceDE w:val="0"/>
        <w:autoSpaceDN w:val="0"/>
        <w:adjustRightInd w:val="0"/>
        <w:spacing w:after="0" w:line="240" w:lineRule="auto"/>
        <w:ind w:firstLine="709"/>
        <w:jc w:val="both"/>
        <w:rPr>
          <w:rFonts w:ascii="Times New Roman" w:hAnsi="Times New Roman" w:cs="Times New Roman"/>
          <w:bCs/>
          <w:sz w:val="28"/>
          <w:szCs w:val="28"/>
        </w:rPr>
      </w:pPr>
    </w:p>
    <w:p w:rsidR="00BC6F52" w:rsidRDefault="00BC6F52" w:rsidP="008016BC">
      <w:pPr>
        <w:autoSpaceDE w:val="0"/>
        <w:autoSpaceDN w:val="0"/>
        <w:adjustRightInd w:val="0"/>
        <w:spacing w:after="0" w:line="240" w:lineRule="auto"/>
        <w:ind w:firstLine="709"/>
        <w:jc w:val="both"/>
        <w:rPr>
          <w:rFonts w:ascii="Times New Roman" w:hAnsi="Times New Roman" w:cs="Times New Roman"/>
          <w:b/>
          <w:bCs/>
          <w:sz w:val="28"/>
          <w:szCs w:val="28"/>
        </w:rPr>
      </w:pPr>
    </w:p>
    <w:p w:rsidR="00BC6F52" w:rsidRDefault="00BC6F52" w:rsidP="008016BC">
      <w:pPr>
        <w:autoSpaceDE w:val="0"/>
        <w:autoSpaceDN w:val="0"/>
        <w:adjustRightInd w:val="0"/>
        <w:spacing w:after="0" w:line="240" w:lineRule="auto"/>
        <w:ind w:firstLine="709"/>
        <w:jc w:val="both"/>
        <w:rPr>
          <w:rFonts w:ascii="Times New Roman" w:hAnsi="Times New Roman" w:cs="Times New Roman"/>
          <w:b/>
          <w:bCs/>
          <w:sz w:val="28"/>
          <w:szCs w:val="28"/>
        </w:rPr>
      </w:pPr>
    </w:p>
    <w:p w:rsidR="00BC6F52" w:rsidRDefault="00BC6F52" w:rsidP="008016BC">
      <w:pPr>
        <w:autoSpaceDE w:val="0"/>
        <w:autoSpaceDN w:val="0"/>
        <w:adjustRightInd w:val="0"/>
        <w:spacing w:after="0" w:line="240" w:lineRule="auto"/>
        <w:ind w:firstLine="709"/>
        <w:jc w:val="both"/>
        <w:rPr>
          <w:rFonts w:ascii="Times New Roman" w:hAnsi="Times New Roman" w:cs="Times New Roman"/>
          <w:b/>
          <w:bCs/>
          <w:sz w:val="28"/>
          <w:szCs w:val="28"/>
        </w:rPr>
      </w:pPr>
    </w:p>
    <w:p w:rsidR="008016BC" w:rsidRDefault="000235F0" w:rsidP="008016BC">
      <w:pPr>
        <w:autoSpaceDE w:val="0"/>
        <w:autoSpaceDN w:val="0"/>
        <w:adjustRightInd w:val="0"/>
        <w:spacing w:after="0" w:line="240" w:lineRule="auto"/>
        <w:ind w:firstLine="709"/>
        <w:jc w:val="both"/>
        <w:rPr>
          <w:rFonts w:ascii="Times New Roman" w:hAnsi="Times New Roman" w:cs="Times New Roman"/>
          <w:bCs/>
          <w:sz w:val="28"/>
          <w:szCs w:val="28"/>
        </w:rPr>
      </w:pPr>
      <w:r w:rsidRPr="00300EA0">
        <w:rPr>
          <w:rFonts w:ascii="Times New Roman" w:hAnsi="Times New Roman" w:cs="Times New Roman"/>
          <w:b/>
          <w:bCs/>
          <w:sz w:val="28"/>
          <w:szCs w:val="28"/>
        </w:rPr>
        <w:t>Таблица</w:t>
      </w:r>
      <w:r w:rsidR="00915215">
        <w:rPr>
          <w:rFonts w:ascii="Times New Roman" w:hAnsi="Times New Roman" w:cs="Times New Roman"/>
          <w:b/>
          <w:bCs/>
          <w:sz w:val="28"/>
          <w:szCs w:val="28"/>
        </w:rPr>
        <w:t xml:space="preserve"> 6</w:t>
      </w:r>
      <w:r w:rsidR="00274C14" w:rsidRPr="00300EA0">
        <w:rPr>
          <w:rFonts w:ascii="Times New Roman" w:hAnsi="Times New Roman" w:cs="Times New Roman"/>
          <w:b/>
          <w:bCs/>
          <w:sz w:val="28"/>
          <w:szCs w:val="28"/>
        </w:rPr>
        <w:t>.</w:t>
      </w:r>
      <w:r w:rsidR="00274C14">
        <w:rPr>
          <w:rFonts w:ascii="Times New Roman" w:hAnsi="Times New Roman" w:cs="Times New Roman"/>
          <w:bCs/>
          <w:sz w:val="28"/>
          <w:szCs w:val="28"/>
        </w:rPr>
        <w:t xml:space="preserve"> </w:t>
      </w:r>
      <w:r w:rsidRPr="00DA67E4">
        <w:rPr>
          <w:rFonts w:ascii="Times New Roman" w:hAnsi="Times New Roman" w:cs="Times New Roman"/>
          <w:b/>
          <w:bCs/>
          <w:sz w:val="28"/>
          <w:szCs w:val="28"/>
        </w:rPr>
        <w:t>Средняя стоимость нехирургических случаев госпитализации в круглосуточный стационар</w:t>
      </w:r>
      <w:r w:rsidR="00DA67E4" w:rsidRPr="00DA67E4">
        <w:rPr>
          <w:rFonts w:ascii="Times New Roman" w:hAnsi="Times New Roman" w:cs="Times New Roman"/>
          <w:b/>
          <w:bCs/>
          <w:sz w:val="28"/>
          <w:szCs w:val="28"/>
        </w:rPr>
        <w:t xml:space="preserve"> за 2017 год</w:t>
      </w:r>
      <w:r w:rsidR="00DA67E4">
        <w:rPr>
          <w:rFonts w:ascii="Times New Roman" w:hAnsi="Times New Roman" w:cs="Times New Roman"/>
          <w:bCs/>
          <w:sz w:val="28"/>
          <w:szCs w:val="28"/>
        </w:rPr>
        <w:t>, тенге.</w:t>
      </w:r>
    </w:p>
    <w:p w:rsidR="000235F0" w:rsidRDefault="000235F0" w:rsidP="000235F0">
      <w:pPr>
        <w:autoSpaceDE w:val="0"/>
        <w:autoSpaceDN w:val="0"/>
        <w:adjustRightInd w:val="0"/>
        <w:spacing w:after="0" w:line="240" w:lineRule="auto"/>
        <w:jc w:val="both"/>
        <w:rPr>
          <w:rFonts w:ascii="Times New Roman" w:hAnsi="Times New Roman" w:cs="Times New Roman"/>
          <w:bCs/>
          <w:sz w:val="28"/>
          <w:szCs w:val="28"/>
        </w:rPr>
      </w:pPr>
    </w:p>
    <w:tbl>
      <w:tblPr>
        <w:tblW w:w="5314" w:type="dxa"/>
        <w:jc w:val="center"/>
        <w:tblLook w:val="04A0" w:firstRow="1" w:lastRow="0" w:firstColumn="1" w:lastColumn="0" w:noHBand="0" w:noVBand="1"/>
      </w:tblPr>
      <w:tblGrid>
        <w:gridCol w:w="2205"/>
        <w:gridCol w:w="1334"/>
        <w:gridCol w:w="2153"/>
        <w:gridCol w:w="1201"/>
      </w:tblGrid>
      <w:tr w:rsidR="000235F0" w:rsidRPr="000235F0" w:rsidTr="00DA67E4">
        <w:trPr>
          <w:trHeight w:val="1200"/>
          <w:jc w:val="center"/>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Средняя стоимость случая</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Государственный сектор</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Частный сектор</w:t>
            </w:r>
          </w:p>
        </w:tc>
      </w:tr>
      <w:tr w:rsidR="000235F0" w:rsidRPr="000235F0" w:rsidTr="00DA67E4">
        <w:trPr>
          <w:trHeight w:val="765"/>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lastRenderedPageBreak/>
              <w:t>Острый инфаркт миокарда</w:t>
            </w:r>
          </w:p>
        </w:tc>
        <w:tc>
          <w:tcPr>
            <w:tcW w:w="975"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69 981</w:t>
            </w:r>
          </w:p>
        </w:tc>
        <w:tc>
          <w:tcPr>
            <w:tcW w:w="1671"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70 209</w:t>
            </w:r>
          </w:p>
        </w:tc>
        <w:tc>
          <w:tcPr>
            <w:tcW w:w="1000"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69 524</w:t>
            </w:r>
          </w:p>
        </w:tc>
      </w:tr>
      <w:tr w:rsidR="000235F0" w:rsidRPr="000235F0" w:rsidTr="00DA67E4">
        <w:trPr>
          <w:trHeight w:val="600"/>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Стенокардия</w:t>
            </w:r>
          </w:p>
        </w:tc>
        <w:tc>
          <w:tcPr>
            <w:tcW w:w="975"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38 086</w:t>
            </w:r>
          </w:p>
        </w:tc>
        <w:tc>
          <w:tcPr>
            <w:tcW w:w="1671"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37 998</w:t>
            </w:r>
          </w:p>
        </w:tc>
        <w:tc>
          <w:tcPr>
            <w:tcW w:w="1000"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38 262</w:t>
            </w:r>
          </w:p>
        </w:tc>
      </w:tr>
      <w:tr w:rsidR="000235F0" w:rsidRPr="000235F0" w:rsidTr="00DA67E4">
        <w:trPr>
          <w:trHeight w:val="300"/>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Холестилиаз</w:t>
            </w:r>
          </w:p>
        </w:tc>
        <w:tc>
          <w:tcPr>
            <w:tcW w:w="975"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14 854</w:t>
            </w:r>
          </w:p>
        </w:tc>
        <w:tc>
          <w:tcPr>
            <w:tcW w:w="1671"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14 796</w:t>
            </w:r>
          </w:p>
        </w:tc>
        <w:tc>
          <w:tcPr>
            <w:tcW w:w="1000"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14 971</w:t>
            </w:r>
          </w:p>
        </w:tc>
      </w:tr>
      <w:tr w:rsidR="000235F0" w:rsidRPr="000235F0" w:rsidTr="00DA67E4">
        <w:trPr>
          <w:trHeight w:val="765"/>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Сердечная недостаточность</w:t>
            </w:r>
          </w:p>
        </w:tc>
        <w:tc>
          <w:tcPr>
            <w:tcW w:w="975"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18 418</w:t>
            </w:r>
          </w:p>
        </w:tc>
        <w:tc>
          <w:tcPr>
            <w:tcW w:w="1671"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18 275</w:t>
            </w:r>
          </w:p>
        </w:tc>
        <w:tc>
          <w:tcPr>
            <w:tcW w:w="1000"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18 703</w:t>
            </w:r>
          </w:p>
        </w:tc>
      </w:tr>
      <w:tr w:rsidR="000235F0" w:rsidRPr="000235F0" w:rsidTr="00DA67E4">
        <w:trPr>
          <w:trHeight w:val="1530"/>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Злокачественные образования бронхов и легких</w:t>
            </w:r>
          </w:p>
        </w:tc>
        <w:tc>
          <w:tcPr>
            <w:tcW w:w="975"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23 678</w:t>
            </w:r>
          </w:p>
        </w:tc>
        <w:tc>
          <w:tcPr>
            <w:tcW w:w="1671"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23 757</w:t>
            </w:r>
          </w:p>
        </w:tc>
        <w:tc>
          <w:tcPr>
            <w:tcW w:w="1000"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23 520</w:t>
            </w:r>
          </w:p>
        </w:tc>
      </w:tr>
      <w:tr w:rsidR="000235F0" w:rsidRPr="000235F0" w:rsidTr="00DA67E4">
        <w:trPr>
          <w:trHeight w:val="765"/>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Самопроизвольные роды</w:t>
            </w:r>
          </w:p>
        </w:tc>
        <w:tc>
          <w:tcPr>
            <w:tcW w:w="975"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18 107</w:t>
            </w:r>
          </w:p>
        </w:tc>
        <w:tc>
          <w:tcPr>
            <w:tcW w:w="1671"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18 107</w:t>
            </w:r>
          </w:p>
        </w:tc>
        <w:tc>
          <w:tcPr>
            <w:tcW w:w="1000"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18 106</w:t>
            </w:r>
          </w:p>
        </w:tc>
      </w:tr>
      <w:tr w:rsidR="000235F0" w:rsidRPr="000235F0" w:rsidTr="00DA67E4">
        <w:trPr>
          <w:trHeight w:val="300"/>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Пневмония</w:t>
            </w:r>
          </w:p>
        </w:tc>
        <w:tc>
          <w:tcPr>
            <w:tcW w:w="975"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b/>
                <w:color w:val="000000"/>
                <w:sz w:val="24"/>
                <w:szCs w:val="24"/>
                <w:lang w:eastAsia="ru-RU"/>
              </w:rPr>
            </w:pPr>
            <w:r w:rsidRPr="000235F0">
              <w:rPr>
                <w:rFonts w:ascii="Times New Roman" w:eastAsia="Times New Roman" w:hAnsi="Times New Roman" w:cs="Times New Roman"/>
                <w:b/>
                <w:color w:val="000000"/>
                <w:sz w:val="24"/>
                <w:szCs w:val="24"/>
                <w:lang w:eastAsia="ru-RU"/>
              </w:rPr>
              <w:t>11 774</w:t>
            </w:r>
          </w:p>
        </w:tc>
        <w:tc>
          <w:tcPr>
            <w:tcW w:w="1671"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11 806</w:t>
            </w:r>
          </w:p>
        </w:tc>
        <w:tc>
          <w:tcPr>
            <w:tcW w:w="1000" w:type="dxa"/>
            <w:tcBorders>
              <w:top w:val="nil"/>
              <w:left w:val="nil"/>
              <w:bottom w:val="single" w:sz="4" w:space="0" w:color="auto"/>
              <w:right w:val="single" w:sz="4" w:space="0" w:color="auto"/>
            </w:tcBorders>
            <w:shd w:val="clear" w:color="auto" w:fill="auto"/>
            <w:noWrap/>
            <w:vAlign w:val="center"/>
            <w:hideMark/>
          </w:tcPr>
          <w:p w:rsidR="000235F0" w:rsidRPr="000235F0" w:rsidRDefault="000235F0" w:rsidP="00DA67E4">
            <w:pPr>
              <w:spacing w:after="0" w:line="240" w:lineRule="auto"/>
              <w:jc w:val="center"/>
              <w:rPr>
                <w:rFonts w:ascii="Times New Roman" w:eastAsia="Times New Roman" w:hAnsi="Times New Roman" w:cs="Times New Roman"/>
                <w:color w:val="000000"/>
                <w:sz w:val="24"/>
                <w:szCs w:val="24"/>
                <w:lang w:eastAsia="ru-RU"/>
              </w:rPr>
            </w:pPr>
            <w:r w:rsidRPr="000235F0">
              <w:rPr>
                <w:rFonts w:ascii="Times New Roman" w:eastAsia="Times New Roman" w:hAnsi="Times New Roman" w:cs="Times New Roman"/>
                <w:color w:val="000000"/>
                <w:sz w:val="24"/>
                <w:szCs w:val="24"/>
                <w:lang w:eastAsia="ru-RU"/>
              </w:rPr>
              <w:t>11 711</w:t>
            </w:r>
          </w:p>
        </w:tc>
      </w:tr>
    </w:tbl>
    <w:p w:rsidR="008016BC" w:rsidRDefault="008016BC" w:rsidP="00D63985">
      <w:pPr>
        <w:autoSpaceDE w:val="0"/>
        <w:autoSpaceDN w:val="0"/>
        <w:adjustRightInd w:val="0"/>
        <w:spacing w:after="0" w:line="240" w:lineRule="auto"/>
        <w:jc w:val="both"/>
        <w:rPr>
          <w:rFonts w:ascii="Times New Roman" w:hAnsi="Times New Roman" w:cs="Times New Roman"/>
          <w:bCs/>
          <w:sz w:val="28"/>
          <w:szCs w:val="28"/>
        </w:rPr>
      </w:pPr>
    </w:p>
    <w:p w:rsidR="008016BC" w:rsidRDefault="004F2F4B" w:rsidP="004F2F4B">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Средняя стоимость одного пролеченного случая острого инфаркта миокарда составляет 69 981 тенге, при этом в гос.секторе цена наблюдается выше. Стенокардия – 38 086 тенге, Холестилиаз - </w:t>
      </w:r>
      <w:r w:rsidRPr="004F2F4B">
        <w:rPr>
          <w:rFonts w:ascii="Times New Roman" w:hAnsi="Times New Roman" w:cs="Times New Roman"/>
          <w:bCs/>
          <w:sz w:val="28"/>
          <w:szCs w:val="28"/>
        </w:rPr>
        <w:t>14</w:t>
      </w:r>
      <w:r>
        <w:rPr>
          <w:rFonts w:ascii="Times New Roman" w:hAnsi="Times New Roman" w:cs="Times New Roman"/>
          <w:bCs/>
          <w:sz w:val="28"/>
          <w:szCs w:val="28"/>
        </w:rPr>
        <w:t> </w:t>
      </w:r>
      <w:r w:rsidRPr="004F2F4B">
        <w:rPr>
          <w:rFonts w:ascii="Times New Roman" w:hAnsi="Times New Roman" w:cs="Times New Roman"/>
          <w:bCs/>
          <w:sz w:val="28"/>
          <w:szCs w:val="28"/>
        </w:rPr>
        <w:t>854</w:t>
      </w:r>
      <w:r>
        <w:rPr>
          <w:rFonts w:ascii="Times New Roman" w:hAnsi="Times New Roman" w:cs="Times New Roman"/>
          <w:bCs/>
          <w:sz w:val="28"/>
          <w:szCs w:val="28"/>
        </w:rPr>
        <w:t xml:space="preserve"> тенге, </w:t>
      </w:r>
      <w:r w:rsidRPr="004F2F4B">
        <w:rPr>
          <w:rFonts w:ascii="Times New Roman" w:hAnsi="Times New Roman" w:cs="Times New Roman"/>
          <w:bCs/>
          <w:sz w:val="28"/>
          <w:szCs w:val="28"/>
        </w:rPr>
        <w:t>Сердечная недостаточность</w:t>
      </w:r>
      <w:r w:rsidRPr="004F2F4B">
        <w:rPr>
          <w:rFonts w:ascii="Times New Roman" w:hAnsi="Times New Roman" w:cs="Times New Roman"/>
          <w:bCs/>
          <w:sz w:val="28"/>
          <w:szCs w:val="28"/>
        </w:rPr>
        <w:tab/>
      </w:r>
      <w:r>
        <w:rPr>
          <w:rFonts w:ascii="Times New Roman" w:hAnsi="Times New Roman" w:cs="Times New Roman"/>
          <w:bCs/>
          <w:sz w:val="28"/>
          <w:szCs w:val="28"/>
        </w:rPr>
        <w:t xml:space="preserve"> -</w:t>
      </w:r>
      <w:r w:rsidRPr="004F2F4B">
        <w:rPr>
          <w:rFonts w:ascii="Times New Roman" w:hAnsi="Times New Roman" w:cs="Times New Roman"/>
          <w:bCs/>
          <w:sz w:val="28"/>
          <w:szCs w:val="28"/>
        </w:rPr>
        <w:t>18</w:t>
      </w:r>
      <w:r>
        <w:rPr>
          <w:rFonts w:ascii="Times New Roman" w:hAnsi="Times New Roman" w:cs="Times New Roman"/>
          <w:bCs/>
          <w:sz w:val="28"/>
          <w:szCs w:val="28"/>
        </w:rPr>
        <w:t> </w:t>
      </w:r>
      <w:r w:rsidRPr="004F2F4B">
        <w:rPr>
          <w:rFonts w:ascii="Times New Roman" w:hAnsi="Times New Roman" w:cs="Times New Roman"/>
          <w:bCs/>
          <w:sz w:val="28"/>
          <w:szCs w:val="28"/>
        </w:rPr>
        <w:t>418</w:t>
      </w:r>
      <w:r>
        <w:rPr>
          <w:rFonts w:ascii="Times New Roman" w:hAnsi="Times New Roman" w:cs="Times New Roman"/>
          <w:bCs/>
          <w:sz w:val="28"/>
          <w:szCs w:val="28"/>
        </w:rPr>
        <w:t xml:space="preserve"> тенге, </w:t>
      </w:r>
      <w:r w:rsidRPr="004F2F4B">
        <w:rPr>
          <w:rFonts w:ascii="Times New Roman" w:hAnsi="Times New Roman" w:cs="Times New Roman"/>
          <w:bCs/>
          <w:sz w:val="28"/>
          <w:szCs w:val="28"/>
        </w:rPr>
        <w:t>Злокачественн</w:t>
      </w:r>
      <w:r>
        <w:rPr>
          <w:rFonts w:ascii="Times New Roman" w:hAnsi="Times New Roman" w:cs="Times New Roman"/>
          <w:bCs/>
          <w:sz w:val="28"/>
          <w:szCs w:val="28"/>
        </w:rPr>
        <w:t xml:space="preserve">ые образования бронхов и легких - </w:t>
      </w:r>
      <w:r w:rsidRPr="004F2F4B">
        <w:rPr>
          <w:rFonts w:ascii="Times New Roman" w:hAnsi="Times New Roman" w:cs="Times New Roman"/>
          <w:bCs/>
          <w:sz w:val="28"/>
          <w:szCs w:val="28"/>
        </w:rPr>
        <w:t>23</w:t>
      </w:r>
      <w:r>
        <w:rPr>
          <w:rFonts w:ascii="Times New Roman" w:hAnsi="Times New Roman" w:cs="Times New Roman"/>
          <w:bCs/>
          <w:sz w:val="28"/>
          <w:szCs w:val="28"/>
        </w:rPr>
        <w:t> </w:t>
      </w:r>
      <w:r w:rsidRPr="004F2F4B">
        <w:rPr>
          <w:rFonts w:ascii="Times New Roman" w:hAnsi="Times New Roman" w:cs="Times New Roman"/>
          <w:bCs/>
          <w:sz w:val="28"/>
          <w:szCs w:val="28"/>
        </w:rPr>
        <w:t>678</w:t>
      </w:r>
      <w:r>
        <w:rPr>
          <w:rFonts w:ascii="Times New Roman" w:hAnsi="Times New Roman" w:cs="Times New Roman"/>
          <w:bCs/>
          <w:sz w:val="28"/>
          <w:szCs w:val="28"/>
        </w:rPr>
        <w:t xml:space="preserve"> тенге, </w:t>
      </w:r>
      <w:r w:rsidRPr="004F2F4B">
        <w:rPr>
          <w:rFonts w:ascii="Times New Roman" w:hAnsi="Times New Roman" w:cs="Times New Roman"/>
          <w:bCs/>
          <w:sz w:val="28"/>
          <w:szCs w:val="28"/>
        </w:rPr>
        <w:t>Самопроизвольные роды</w:t>
      </w:r>
      <w:r w:rsidRPr="004F2F4B">
        <w:rPr>
          <w:rFonts w:ascii="Times New Roman" w:hAnsi="Times New Roman" w:cs="Times New Roman"/>
          <w:bCs/>
          <w:sz w:val="28"/>
          <w:szCs w:val="28"/>
        </w:rPr>
        <w:tab/>
      </w:r>
      <w:r>
        <w:rPr>
          <w:rFonts w:ascii="Times New Roman" w:hAnsi="Times New Roman" w:cs="Times New Roman"/>
          <w:bCs/>
          <w:sz w:val="28"/>
          <w:szCs w:val="28"/>
        </w:rPr>
        <w:t xml:space="preserve"> - </w:t>
      </w:r>
      <w:r w:rsidRPr="004F2F4B">
        <w:rPr>
          <w:rFonts w:ascii="Times New Roman" w:hAnsi="Times New Roman" w:cs="Times New Roman"/>
          <w:bCs/>
          <w:sz w:val="28"/>
          <w:szCs w:val="28"/>
        </w:rPr>
        <w:t>18</w:t>
      </w:r>
      <w:r>
        <w:rPr>
          <w:rFonts w:ascii="Times New Roman" w:hAnsi="Times New Roman" w:cs="Times New Roman"/>
          <w:bCs/>
          <w:sz w:val="28"/>
          <w:szCs w:val="28"/>
        </w:rPr>
        <w:t> </w:t>
      </w:r>
      <w:r w:rsidRPr="004F2F4B">
        <w:rPr>
          <w:rFonts w:ascii="Times New Roman" w:hAnsi="Times New Roman" w:cs="Times New Roman"/>
          <w:bCs/>
          <w:sz w:val="28"/>
          <w:szCs w:val="28"/>
        </w:rPr>
        <w:t>107</w:t>
      </w:r>
      <w:r>
        <w:rPr>
          <w:rFonts w:ascii="Times New Roman" w:hAnsi="Times New Roman" w:cs="Times New Roman"/>
          <w:bCs/>
          <w:sz w:val="28"/>
          <w:szCs w:val="28"/>
        </w:rPr>
        <w:t xml:space="preserve"> тенге, Пневмония - </w:t>
      </w:r>
      <w:r w:rsidRPr="004F2F4B">
        <w:rPr>
          <w:rFonts w:ascii="Times New Roman" w:hAnsi="Times New Roman" w:cs="Times New Roman"/>
          <w:bCs/>
          <w:sz w:val="28"/>
          <w:szCs w:val="28"/>
        </w:rPr>
        <w:t>11</w:t>
      </w:r>
      <w:r>
        <w:rPr>
          <w:rFonts w:ascii="Times New Roman" w:hAnsi="Times New Roman" w:cs="Times New Roman"/>
          <w:bCs/>
          <w:sz w:val="28"/>
          <w:szCs w:val="28"/>
        </w:rPr>
        <w:t> </w:t>
      </w:r>
      <w:r w:rsidRPr="004F2F4B">
        <w:rPr>
          <w:rFonts w:ascii="Times New Roman" w:hAnsi="Times New Roman" w:cs="Times New Roman"/>
          <w:bCs/>
          <w:sz w:val="28"/>
          <w:szCs w:val="28"/>
        </w:rPr>
        <w:t>774</w:t>
      </w:r>
      <w:r>
        <w:rPr>
          <w:rFonts w:ascii="Times New Roman" w:hAnsi="Times New Roman" w:cs="Times New Roman"/>
          <w:bCs/>
          <w:sz w:val="28"/>
          <w:szCs w:val="28"/>
        </w:rPr>
        <w:t xml:space="preserve"> тенге. При этом во всех остальных случаях превышение средней цены наблюдается исключительно в частном секторе.</w:t>
      </w:r>
    </w:p>
    <w:p w:rsidR="004F2F4B" w:rsidRDefault="004F2F4B" w:rsidP="004F2F4B">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Далее, рисунком_ показан с</w:t>
      </w:r>
      <w:r w:rsidRPr="004F2F4B">
        <w:rPr>
          <w:rFonts w:ascii="Times New Roman" w:hAnsi="Times New Roman" w:cs="Times New Roman"/>
          <w:bCs/>
          <w:sz w:val="28"/>
          <w:szCs w:val="28"/>
        </w:rPr>
        <w:t xml:space="preserve">равнительный анализ средней длительности лечения </w:t>
      </w:r>
      <w:r>
        <w:rPr>
          <w:rFonts w:ascii="Times New Roman" w:hAnsi="Times New Roman" w:cs="Times New Roman"/>
          <w:bCs/>
          <w:sz w:val="28"/>
          <w:szCs w:val="28"/>
        </w:rPr>
        <w:t>для Казахстана и по данным ОЭСР, рассчитанный в виде количества дней для отдельного случая в сравнении со странами ОЭСР. По всем типам случаев наблюдается значительное превышение пребывания пациентов в стационаре по сравнению с аналогичными случаями, рассматриваемыми в странах ОЭСР. Наибольшее превышение наблюдается по злокачественным образованиям в легких и бронхах: тут средняя продолжительность пребывания в Казахстане составляет 11 дней, в странах ОЭСР – 6,4 дня., а также по стенокардии: 9 дней в Казахстане в сравнении с 3,6 д</w:t>
      </w:r>
      <w:r w:rsidR="00915215">
        <w:rPr>
          <w:rFonts w:ascii="Times New Roman" w:hAnsi="Times New Roman" w:cs="Times New Roman"/>
          <w:bCs/>
          <w:sz w:val="28"/>
          <w:szCs w:val="28"/>
        </w:rPr>
        <w:t>ня пребывания в стационаре ОЭСР (рисунки 1-3).</w:t>
      </w:r>
    </w:p>
    <w:p w:rsidR="004F2F4B" w:rsidRDefault="004F2F4B" w:rsidP="002036A8">
      <w:pPr>
        <w:autoSpaceDE w:val="0"/>
        <w:autoSpaceDN w:val="0"/>
        <w:adjustRightInd w:val="0"/>
        <w:spacing w:after="0" w:line="240" w:lineRule="auto"/>
        <w:jc w:val="both"/>
        <w:rPr>
          <w:rFonts w:ascii="Times New Roman" w:hAnsi="Times New Roman" w:cs="Times New Roman"/>
          <w:bCs/>
          <w:sz w:val="28"/>
          <w:szCs w:val="28"/>
        </w:rPr>
      </w:pPr>
    </w:p>
    <w:p w:rsidR="00BC6912" w:rsidRDefault="00BC6912" w:rsidP="00BC6912">
      <w:pPr>
        <w:autoSpaceDE w:val="0"/>
        <w:autoSpaceDN w:val="0"/>
        <w:adjustRightInd w:val="0"/>
        <w:spacing w:after="0" w:line="240" w:lineRule="auto"/>
        <w:ind w:firstLine="709"/>
        <w:jc w:val="both"/>
        <w:rPr>
          <w:rFonts w:ascii="Times New Roman" w:hAnsi="Times New Roman" w:cs="Times New Roman"/>
          <w:bCs/>
          <w:sz w:val="28"/>
          <w:szCs w:val="28"/>
        </w:rPr>
      </w:pPr>
    </w:p>
    <w:p w:rsidR="00BC6912" w:rsidRDefault="00BC6912" w:rsidP="00BC6912">
      <w:pPr>
        <w:autoSpaceDE w:val="0"/>
        <w:autoSpaceDN w:val="0"/>
        <w:adjustRightInd w:val="0"/>
        <w:spacing w:after="0" w:line="240" w:lineRule="auto"/>
        <w:ind w:firstLine="709"/>
        <w:jc w:val="both"/>
        <w:rPr>
          <w:rFonts w:ascii="Times New Roman" w:hAnsi="Times New Roman" w:cs="Times New Roman"/>
          <w:bCs/>
          <w:sz w:val="28"/>
          <w:szCs w:val="28"/>
        </w:rPr>
      </w:pPr>
    </w:p>
    <w:p w:rsidR="00BC6912" w:rsidRDefault="00BC6912" w:rsidP="00BC6912">
      <w:pPr>
        <w:autoSpaceDE w:val="0"/>
        <w:autoSpaceDN w:val="0"/>
        <w:adjustRightInd w:val="0"/>
        <w:spacing w:after="0" w:line="240" w:lineRule="auto"/>
        <w:ind w:firstLine="709"/>
        <w:jc w:val="both"/>
        <w:rPr>
          <w:rFonts w:ascii="Times New Roman" w:hAnsi="Times New Roman" w:cs="Times New Roman"/>
          <w:bCs/>
          <w:sz w:val="28"/>
          <w:szCs w:val="28"/>
        </w:rPr>
      </w:pPr>
    </w:p>
    <w:p w:rsidR="00BC6912" w:rsidRDefault="00BC6912" w:rsidP="00BC6912">
      <w:pPr>
        <w:autoSpaceDE w:val="0"/>
        <w:autoSpaceDN w:val="0"/>
        <w:adjustRightInd w:val="0"/>
        <w:spacing w:after="0" w:line="240" w:lineRule="auto"/>
        <w:ind w:firstLine="709"/>
        <w:jc w:val="both"/>
        <w:rPr>
          <w:rFonts w:ascii="Times New Roman" w:hAnsi="Times New Roman" w:cs="Times New Roman"/>
          <w:bCs/>
          <w:sz w:val="28"/>
          <w:szCs w:val="28"/>
        </w:rPr>
      </w:pPr>
    </w:p>
    <w:p w:rsidR="00BC6912" w:rsidRDefault="00BC6912" w:rsidP="00BC6912">
      <w:pPr>
        <w:autoSpaceDE w:val="0"/>
        <w:autoSpaceDN w:val="0"/>
        <w:adjustRightInd w:val="0"/>
        <w:spacing w:after="0" w:line="240" w:lineRule="auto"/>
        <w:ind w:firstLine="709"/>
        <w:jc w:val="both"/>
        <w:rPr>
          <w:rFonts w:ascii="Times New Roman" w:hAnsi="Times New Roman" w:cs="Times New Roman"/>
          <w:bCs/>
          <w:sz w:val="28"/>
          <w:szCs w:val="28"/>
        </w:rPr>
      </w:pPr>
    </w:p>
    <w:p w:rsidR="004F2F4B" w:rsidRPr="00BC6912" w:rsidRDefault="004F2F4B" w:rsidP="00BC6912">
      <w:pPr>
        <w:autoSpaceDE w:val="0"/>
        <w:autoSpaceDN w:val="0"/>
        <w:adjustRightInd w:val="0"/>
        <w:spacing w:after="0" w:line="240" w:lineRule="auto"/>
        <w:ind w:firstLine="709"/>
        <w:jc w:val="both"/>
        <w:rPr>
          <w:rFonts w:ascii="Times New Roman" w:hAnsi="Times New Roman" w:cs="Times New Roman"/>
          <w:bCs/>
          <w:sz w:val="28"/>
          <w:szCs w:val="28"/>
        </w:rPr>
      </w:pPr>
      <w:r w:rsidRPr="00300EA0">
        <w:rPr>
          <w:rFonts w:ascii="Times New Roman" w:hAnsi="Times New Roman" w:cs="Times New Roman"/>
          <w:b/>
          <w:bCs/>
          <w:sz w:val="28"/>
          <w:szCs w:val="28"/>
        </w:rPr>
        <w:t>Рисунок</w:t>
      </w:r>
      <w:r w:rsidR="00BC6912" w:rsidRPr="00300EA0">
        <w:rPr>
          <w:rFonts w:ascii="Times New Roman" w:hAnsi="Times New Roman" w:cs="Times New Roman"/>
          <w:b/>
          <w:bCs/>
          <w:sz w:val="28"/>
          <w:szCs w:val="28"/>
        </w:rPr>
        <w:t xml:space="preserve"> 1</w:t>
      </w:r>
      <w:r w:rsidR="00BC6912">
        <w:rPr>
          <w:rFonts w:ascii="Times New Roman" w:hAnsi="Times New Roman" w:cs="Times New Roman"/>
          <w:bCs/>
          <w:sz w:val="28"/>
          <w:szCs w:val="28"/>
        </w:rPr>
        <w:t xml:space="preserve">. </w:t>
      </w:r>
      <w:r w:rsidRPr="00E83C88">
        <w:rPr>
          <w:rFonts w:ascii="Times New Roman" w:hAnsi="Times New Roman" w:cs="Times New Roman"/>
          <w:b/>
          <w:bCs/>
          <w:sz w:val="28"/>
          <w:szCs w:val="28"/>
        </w:rPr>
        <w:t>Сравнительный анализ</w:t>
      </w:r>
      <w:r>
        <w:rPr>
          <w:rFonts w:ascii="Times New Roman" w:hAnsi="Times New Roman" w:cs="Times New Roman"/>
          <w:bCs/>
          <w:sz w:val="28"/>
          <w:szCs w:val="28"/>
        </w:rPr>
        <w:t xml:space="preserve"> </w:t>
      </w:r>
      <w:r>
        <w:rPr>
          <w:rFonts w:ascii="Times New Roman" w:hAnsi="Times New Roman" w:cs="Times New Roman"/>
          <w:b/>
          <w:bCs/>
          <w:sz w:val="28"/>
          <w:szCs w:val="28"/>
        </w:rPr>
        <w:t>средней длительности</w:t>
      </w:r>
      <w:r w:rsidRPr="008016BC">
        <w:rPr>
          <w:rFonts w:ascii="Times New Roman" w:hAnsi="Times New Roman" w:cs="Times New Roman"/>
          <w:b/>
          <w:bCs/>
          <w:sz w:val="28"/>
          <w:szCs w:val="28"/>
        </w:rPr>
        <w:t xml:space="preserve"> лечения</w:t>
      </w:r>
      <w:r>
        <w:rPr>
          <w:rFonts w:ascii="Times New Roman" w:hAnsi="Times New Roman" w:cs="Times New Roman"/>
          <w:b/>
          <w:bCs/>
          <w:sz w:val="28"/>
          <w:szCs w:val="28"/>
        </w:rPr>
        <w:t xml:space="preserve"> для Казахстана и по данным ОЭСР (количество дней)</w:t>
      </w:r>
    </w:p>
    <w:p w:rsidR="004F2F4B" w:rsidRPr="00A14096" w:rsidRDefault="004F2F4B" w:rsidP="005B1A42">
      <w:pPr>
        <w:autoSpaceDE w:val="0"/>
        <w:autoSpaceDN w:val="0"/>
        <w:adjustRightInd w:val="0"/>
        <w:spacing w:after="0" w:line="240" w:lineRule="auto"/>
        <w:ind w:firstLine="709"/>
        <w:jc w:val="both"/>
        <w:rPr>
          <w:rFonts w:ascii="Times New Roman" w:hAnsi="Times New Roman" w:cs="Times New Roman"/>
          <w:bCs/>
          <w:sz w:val="28"/>
          <w:szCs w:val="28"/>
        </w:rPr>
      </w:pPr>
    </w:p>
    <w:p w:rsidR="005647FE" w:rsidRDefault="00BB0012" w:rsidP="005B1A42">
      <w:pPr>
        <w:rPr>
          <w:rFonts w:ascii="Times New Roman" w:hAnsi="Times New Roman" w:cs="Times New Roman"/>
          <w:bCs/>
          <w:sz w:val="28"/>
          <w:szCs w:val="28"/>
        </w:rPr>
      </w:pPr>
      <w:r w:rsidRPr="00BB0012">
        <w:rPr>
          <w:rFonts w:ascii="Times New Roman" w:hAnsi="Times New Roman" w:cs="Times New Roman"/>
          <w:bCs/>
          <w:noProof/>
          <w:sz w:val="28"/>
          <w:szCs w:val="28"/>
          <w:lang w:eastAsia="ru-RU"/>
        </w:rPr>
        <w:lastRenderedPageBreak/>
        <w:drawing>
          <wp:inline distT="0" distB="0" distL="0" distR="0">
            <wp:extent cx="5943888" cy="3063834"/>
            <wp:effectExtent l="19050" t="0" r="18762" b="3216"/>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87816" w:rsidRDefault="00900734" w:rsidP="004339AB">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Пересчитанные средние цены </w:t>
      </w:r>
      <w:r w:rsidRPr="00900734">
        <w:rPr>
          <w:rFonts w:ascii="Times New Roman" w:hAnsi="Times New Roman" w:cs="Times New Roman"/>
          <w:bCs/>
          <w:sz w:val="28"/>
          <w:szCs w:val="28"/>
        </w:rPr>
        <w:t>1 пролеченного случая за 1 койко-день</w:t>
      </w:r>
      <w:r>
        <w:rPr>
          <w:rFonts w:ascii="Times New Roman" w:hAnsi="Times New Roman" w:cs="Times New Roman"/>
          <w:bCs/>
          <w:sz w:val="28"/>
          <w:szCs w:val="28"/>
        </w:rPr>
        <w:t xml:space="preserve"> в качестве примера для прямого ценового сопостав</w:t>
      </w:r>
      <w:r w:rsidR="005C6C18">
        <w:rPr>
          <w:rFonts w:ascii="Times New Roman" w:hAnsi="Times New Roman" w:cs="Times New Roman"/>
          <w:bCs/>
          <w:sz w:val="28"/>
          <w:szCs w:val="28"/>
        </w:rPr>
        <w:t>ления в представлены на рисунке 2</w:t>
      </w:r>
      <w:r>
        <w:rPr>
          <w:rFonts w:ascii="Times New Roman" w:hAnsi="Times New Roman" w:cs="Times New Roman"/>
          <w:bCs/>
          <w:sz w:val="28"/>
          <w:szCs w:val="28"/>
        </w:rPr>
        <w:t xml:space="preserve">. </w:t>
      </w:r>
      <w:r w:rsidR="002D5EAF">
        <w:rPr>
          <w:rFonts w:ascii="Times New Roman" w:hAnsi="Times New Roman" w:cs="Times New Roman"/>
          <w:bCs/>
          <w:sz w:val="28"/>
          <w:szCs w:val="28"/>
        </w:rPr>
        <w:t xml:space="preserve">Наименьший процент от стоимости аналогичного типа случая составляет пневмония- 1%, </w:t>
      </w:r>
      <w:r w:rsidR="002B4668">
        <w:rPr>
          <w:rFonts w:ascii="Times New Roman" w:hAnsi="Times New Roman" w:cs="Times New Roman"/>
          <w:bCs/>
          <w:sz w:val="28"/>
          <w:szCs w:val="28"/>
        </w:rPr>
        <w:t>по 3% составили холестилиаз и злокачественные новообразования, по 6% составили острый инфаркт и стенокардия.</w:t>
      </w:r>
    </w:p>
    <w:p w:rsidR="004339AB" w:rsidRDefault="004339AB" w:rsidP="004339AB">
      <w:pPr>
        <w:spacing w:after="0" w:line="240" w:lineRule="auto"/>
        <w:ind w:firstLine="709"/>
        <w:jc w:val="both"/>
        <w:rPr>
          <w:rFonts w:ascii="Times New Roman" w:hAnsi="Times New Roman" w:cs="Times New Roman"/>
          <w:bCs/>
          <w:sz w:val="28"/>
          <w:szCs w:val="28"/>
        </w:rPr>
      </w:pPr>
    </w:p>
    <w:p w:rsidR="008016BC" w:rsidRPr="008B429F" w:rsidRDefault="009D4CB1" w:rsidP="000E5977">
      <w:pPr>
        <w:spacing w:after="0" w:line="240" w:lineRule="auto"/>
        <w:ind w:firstLine="709"/>
        <w:jc w:val="both"/>
        <w:rPr>
          <w:rFonts w:ascii="Times New Roman" w:hAnsi="Times New Roman" w:cs="Times New Roman"/>
          <w:b/>
          <w:bCs/>
          <w:sz w:val="28"/>
          <w:szCs w:val="28"/>
        </w:rPr>
      </w:pPr>
      <w:r w:rsidRPr="00300EA0">
        <w:rPr>
          <w:rFonts w:ascii="Times New Roman" w:hAnsi="Times New Roman" w:cs="Times New Roman"/>
          <w:b/>
          <w:bCs/>
          <w:sz w:val="28"/>
          <w:szCs w:val="28"/>
        </w:rPr>
        <w:t xml:space="preserve">Рисунок </w:t>
      </w:r>
      <w:r w:rsidR="00BC6912" w:rsidRPr="00300EA0">
        <w:rPr>
          <w:rFonts w:ascii="Times New Roman" w:hAnsi="Times New Roman" w:cs="Times New Roman"/>
          <w:b/>
          <w:bCs/>
          <w:sz w:val="28"/>
          <w:szCs w:val="28"/>
        </w:rPr>
        <w:t>2.</w:t>
      </w:r>
      <w:r w:rsidR="00BC6912">
        <w:rPr>
          <w:rFonts w:ascii="Times New Roman" w:hAnsi="Times New Roman" w:cs="Times New Roman"/>
          <w:bCs/>
          <w:sz w:val="28"/>
          <w:szCs w:val="28"/>
        </w:rPr>
        <w:t xml:space="preserve"> </w:t>
      </w:r>
      <w:r w:rsidR="00E83C88" w:rsidRPr="00E83C88">
        <w:rPr>
          <w:rFonts w:ascii="Times New Roman" w:hAnsi="Times New Roman" w:cs="Times New Roman"/>
          <w:b/>
          <w:bCs/>
          <w:sz w:val="28"/>
          <w:szCs w:val="28"/>
        </w:rPr>
        <w:t>Сравнительный анализ</w:t>
      </w:r>
      <w:r w:rsidR="00E83C88">
        <w:rPr>
          <w:rFonts w:ascii="Times New Roman" w:hAnsi="Times New Roman" w:cs="Times New Roman"/>
          <w:bCs/>
          <w:sz w:val="28"/>
          <w:szCs w:val="28"/>
        </w:rPr>
        <w:t xml:space="preserve"> </w:t>
      </w:r>
      <w:r w:rsidR="00E83C88">
        <w:rPr>
          <w:rFonts w:ascii="Times New Roman" w:hAnsi="Times New Roman" w:cs="Times New Roman"/>
          <w:b/>
          <w:bCs/>
          <w:sz w:val="28"/>
          <w:szCs w:val="28"/>
        </w:rPr>
        <w:t>средней стоимости</w:t>
      </w:r>
      <w:r w:rsidRPr="009D4CB1">
        <w:rPr>
          <w:rFonts w:ascii="Times New Roman" w:hAnsi="Times New Roman" w:cs="Times New Roman"/>
          <w:b/>
          <w:bCs/>
          <w:sz w:val="28"/>
          <w:szCs w:val="28"/>
        </w:rPr>
        <w:t xml:space="preserve"> 1 пролеченного случая за 1 койко-день, (</w:t>
      </w:r>
      <w:r w:rsidRPr="009D4CB1">
        <w:rPr>
          <w:rFonts w:ascii="Times New Roman" w:hAnsi="Times New Roman" w:cs="Times New Roman"/>
          <w:b/>
          <w:bCs/>
          <w:sz w:val="28"/>
          <w:szCs w:val="28"/>
          <w:lang w:val="en-US"/>
        </w:rPr>
        <w:t>EUR</w:t>
      </w:r>
      <w:r w:rsidRPr="009D4CB1">
        <w:rPr>
          <w:rFonts w:ascii="Times New Roman" w:hAnsi="Times New Roman" w:cs="Times New Roman"/>
          <w:b/>
          <w:bCs/>
          <w:sz w:val="28"/>
          <w:szCs w:val="28"/>
        </w:rPr>
        <w:t>)</w:t>
      </w:r>
    </w:p>
    <w:p w:rsidR="002B4668" w:rsidRDefault="008B0B7F" w:rsidP="00764DE6">
      <w:pPr>
        <w:jc w:val="center"/>
        <w:rPr>
          <w:rFonts w:ascii="Times New Roman" w:hAnsi="Times New Roman" w:cs="Times New Roman"/>
          <w:bCs/>
          <w:sz w:val="28"/>
          <w:szCs w:val="28"/>
        </w:rPr>
      </w:pPr>
      <w:r w:rsidRPr="008B0B7F">
        <w:rPr>
          <w:rFonts w:ascii="Times New Roman" w:hAnsi="Times New Roman" w:cs="Times New Roman"/>
          <w:bCs/>
          <w:noProof/>
          <w:sz w:val="28"/>
          <w:szCs w:val="28"/>
          <w:lang w:eastAsia="ru-RU"/>
        </w:rPr>
        <w:drawing>
          <wp:inline distT="0" distB="0" distL="0" distR="0">
            <wp:extent cx="5953745" cy="3274828"/>
            <wp:effectExtent l="19050" t="0" r="27955" b="1772"/>
            <wp:docPr id="1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C48C0" w:rsidRPr="00E83C88" w:rsidRDefault="001A2AAF" w:rsidP="00EB7B6C">
      <w:pPr>
        <w:spacing w:after="0" w:line="240" w:lineRule="auto"/>
        <w:ind w:firstLine="709"/>
        <w:jc w:val="both"/>
        <w:rPr>
          <w:rFonts w:ascii="Times New Roman" w:hAnsi="Times New Roman" w:cs="Times New Roman"/>
          <w:b/>
          <w:bCs/>
          <w:sz w:val="28"/>
          <w:szCs w:val="28"/>
        </w:rPr>
      </w:pPr>
      <w:r w:rsidRPr="00300EA0">
        <w:rPr>
          <w:rFonts w:ascii="Times New Roman" w:hAnsi="Times New Roman" w:cs="Times New Roman"/>
          <w:b/>
          <w:bCs/>
          <w:sz w:val="28"/>
          <w:szCs w:val="28"/>
        </w:rPr>
        <w:t>Рисунок</w:t>
      </w:r>
      <w:r w:rsidR="00BC6912" w:rsidRPr="00300EA0">
        <w:rPr>
          <w:rFonts w:ascii="Times New Roman" w:hAnsi="Times New Roman" w:cs="Times New Roman"/>
          <w:b/>
          <w:bCs/>
          <w:sz w:val="28"/>
          <w:szCs w:val="28"/>
        </w:rPr>
        <w:t xml:space="preserve"> 3</w:t>
      </w:r>
      <w:r w:rsidRPr="00300EA0">
        <w:rPr>
          <w:rFonts w:ascii="Times New Roman" w:hAnsi="Times New Roman" w:cs="Times New Roman"/>
          <w:b/>
          <w:bCs/>
          <w:sz w:val="28"/>
          <w:szCs w:val="28"/>
        </w:rPr>
        <w:t>.</w:t>
      </w:r>
      <w:r>
        <w:rPr>
          <w:rFonts w:ascii="Times New Roman" w:hAnsi="Times New Roman" w:cs="Times New Roman"/>
          <w:bCs/>
          <w:sz w:val="28"/>
          <w:szCs w:val="28"/>
        </w:rPr>
        <w:t xml:space="preserve"> </w:t>
      </w:r>
      <w:r w:rsidRPr="00E83C88">
        <w:rPr>
          <w:rFonts w:ascii="Times New Roman" w:hAnsi="Times New Roman" w:cs="Times New Roman"/>
          <w:b/>
          <w:bCs/>
          <w:sz w:val="28"/>
          <w:szCs w:val="28"/>
        </w:rPr>
        <w:t>Сравнительный анализ расходов на нехирургические типы случаев по поставщикам медицинских услуг</w:t>
      </w:r>
    </w:p>
    <w:p w:rsidR="008B429F" w:rsidRDefault="008B429F" w:rsidP="009D52B2">
      <w:pPr>
        <w:jc w:val="center"/>
        <w:rPr>
          <w:rFonts w:ascii="Times New Roman" w:hAnsi="Times New Roman" w:cs="Times New Roman"/>
          <w:bCs/>
          <w:sz w:val="28"/>
          <w:szCs w:val="28"/>
        </w:rPr>
      </w:pPr>
      <w:r>
        <w:rPr>
          <w:noProof/>
          <w:lang w:eastAsia="ru-RU"/>
        </w:rPr>
        <w:lastRenderedPageBreak/>
        <w:drawing>
          <wp:inline distT="0" distB="0" distL="0" distR="0">
            <wp:extent cx="2344139" cy="1781298"/>
            <wp:effectExtent l="1905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lang w:eastAsia="ru-RU"/>
        </w:rPr>
        <w:drawing>
          <wp:inline distT="0" distB="0" distL="0" distR="0">
            <wp:extent cx="2071008" cy="1805049"/>
            <wp:effectExtent l="19050" t="0" r="5442"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lang w:eastAsia="ru-RU"/>
        </w:rPr>
        <w:drawing>
          <wp:inline distT="0" distB="0" distL="0" distR="0">
            <wp:extent cx="2375064" cy="1935678"/>
            <wp:effectExtent l="19050" t="0" r="6186"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lang w:eastAsia="ru-RU"/>
        </w:rPr>
        <w:drawing>
          <wp:inline distT="0" distB="0" distL="0" distR="0">
            <wp:extent cx="2403516" cy="1956889"/>
            <wp:effectExtent l="1905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lang w:eastAsia="ru-RU"/>
        </w:rPr>
        <w:drawing>
          <wp:inline distT="0" distB="0" distL="0" distR="0">
            <wp:extent cx="2422566" cy="1864426"/>
            <wp:effectExtent l="1905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lang w:eastAsia="ru-RU"/>
        </w:rPr>
        <w:drawing>
          <wp:inline distT="0" distB="0" distL="0" distR="0">
            <wp:extent cx="3056659" cy="1989975"/>
            <wp:effectExtent l="1905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lang w:eastAsia="ru-RU"/>
        </w:rPr>
        <w:drawing>
          <wp:inline distT="0" distB="0" distL="0" distR="0">
            <wp:extent cx="2668360" cy="2095500"/>
            <wp:effectExtent l="1905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ascii="Times New Roman" w:hAnsi="Times New Roman" w:cs="Times New Roman"/>
          <w:bCs/>
          <w:sz w:val="28"/>
          <w:szCs w:val="28"/>
        </w:rPr>
        <w:br w:type="page"/>
      </w:r>
    </w:p>
    <w:p w:rsidR="00A26429" w:rsidRDefault="00D0667C" w:rsidP="00670BE4">
      <w:pPr>
        <w:spacing w:after="0" w:line="240" w:lineRule="auto"/>
        <w:ind w:firstLine="709"/>
        <w:jc w:val="both"/>
        <w:rPr>
          <w:rFonts w:ascii="Times New Roman" w:hAnsi="Times New Roman" w:cs="Times New Roman"/>
          <w:bCs/>
          <w:sz w:val="28"/>
          <w:szCs w:val="28"/>
        </w:rPr>
      </w:pPr>
      <w:r w:rsidRPr="00670BE4">
        <w:rPr>
          <w:rFonts w:ascii="Times New Roman" w:hAnsi="Times New Roman" w:cs="Times New Roman"/>
          <w:bCs/>
          <w:sz w:val="28"/>
          <w:szCs w:val="28"/>
        </w:rPr>
        <w:lastRenderedPageBreak/>
        <w:t xml:space="preserve">Прямое сопоставление расходов на отдельные типы случаев без применения </w:t>
      </w:r>
      <w:r w:rsidR="00670BE4" w:rsidRPr="00670BE4">
        <w:rPr>
          <w:rFonts w:ascii="Times New Roman" w:hAnsi="Times New Roman" w:cs="Times New Roman"/>
          <w:bCs/>
          <w:sz w:val="28"/>
          <w:szCs w:val="28"/>
        </w:rPr>
        <w:t>паритета покупательной способности дает необъективную оценку уровня затрат на отдельный вид случая, зависимую от обменного курса, сложившуюся в условиях международных отношений.</w:t>
      </w:r>
      <w:r w:rsidR="00670BE4">
        <w:rPr>
          <w:rFonts w:ascii="Times New Roman" w:hAnsi="Times New Roman" w:cs="Times New Roman"/>
          <w:bCs/>
          <w:sz w:val="28"/>
          <w:szCs w:val="28"/>
        </w:rPr>
        <w:t xml:space="preserve"> Таким </w:t>
      </w:r>
      <w:r w:rsidR="00EB7B6C">
        <w:rPr>
          <w:rFonts w:ascii="Times New Roman" w:hAnsi="Times New Roman" w:cs="Times New Roman"/>
          <w:bCs/>
          <w:sz w:val="28"/>
          <w:szCs w:val="28"/>
        </w:rPr>
        <w:t>образом, возникает объективная необходимость в формировании оценки паритета покупательной способности, применительно для Казахстана. Алгоритм оценки и результаты представлены в параграфе 2.3.</w:t>
      </w:r>
    </w:p>
    <w:p w:rsidR="00EB7B6C" w:rsidRDefault="00EB7B6C" w:rsidP="00670B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 рисунке 3 сформирована структура расходов на нехирургические типы случаев по поставщикам</w:t>
      </w:r>
      <w:r w:rsidR="00096B28">
        <w:rPr>
          <w:rFonts w:ascii="Times New Roman" w:hAnsi="Times New Roman" w:cs="Times New Roman"/>
          <w:bCs/>
          <w:sz w:val="28"/>
          <w:szCs w:val="28"/>
        </w:rPr>
        <w:t xml:space="preserve"> медицинских услуг. Данные диаграммы демонстрируют значительное превышение доли государственных услуг над частными. Более 10% услуг оказывается частными организациями по сердечной недостаточности (20%), холестилиазу (19%) и стенокардии (13%). </w:t>
      </w:r>
      <w:r w:rsidR="002E7883">
        <w:rPr>
          <w:rFonts w:ascii="Times New Roman" w:hAnsi="Times New Roman" w:cs="Times New Roman"/>
          <w:bCs/>
          <w:sz w:val="28"/>
          <w:szCs w:val="28"/>
        </w:rPr>
        <w:t>Наименьшее значение по острому инфаркту - здесь доля частных поставщиков составляет 3%.</w:t>
      </w:r>
    </w:p>
    <w:p w:rsidR="002E7883" w:rsidRDefault="002E7883" w:rsidP="00670B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Сформированная для оценки ППС выборка предполагает также наличие хирургических типов случаев, сравнительный анализ которых представлен </w:t>
      </w:r>
      <w:r w:rsidR="00915215">
        <w:rPr>
          <w:rFonts w:ascii="Times New Roman" w:hAnsi="Times New Roman" w:cs="Times New Roman"/>
          <w:bCs/>
          <w:sz w:val="28"/>
          <w:szCs w:val="28"/>
        </w:rPr>
        <w:t>далее (таблицы 7-8</w:t>
      </w:r>
      <w:r>
        <w:rPr>
          <w:rFonts w:ascii="Times New Roman" w:hAnsi="Times New Roman" w:cs="Times New Roman"/>
          <w:bCs/>
          <w:sz w:val="28"/>
          <w:szCs w:val="28"/>
        </w:rPr>
        <w:t>).</w:t>
      </w:r>
    </w:p>
    <w:p w:rsidR="003E3010" w:rsidRPr="00670BE4" w:rsidRDefault="003E3010" w:rsidP="00670BE4">
      <w:pPr>
        <w:spacing w:after="0" w:line="240" w:lineRule="auto"/>
        <w:ind w:firstLine="709"/>
        <w:jc w:val="both"/>
        <w:rPr>
          <w:rFonts w:ascii="Times New Roman" w:hAnsi="Times New Roman" w:cs="Times New Roman"/>
          <w:bCs/>
          <w:sz w:val="28"/>
          <w:szCs w:val="28"/>
        </w:rPr>
      </w:pPr>
    </w:p>
    <w:p w:rsidR="007008AA" w:rsidRPr="000F6130" w:rsidRDefault="007008AA" w:rsidP="000F6130">
      <w:pPr>
        <w:jc w:val="center"/>
        <w:rPr>
          <w:rFonts w:ascii="Times New Roman" w:hAnsi="Times New Roman" w:cs="Times New Roman"/>
          <w:b/>
          <w:bCs/>
          <w:sz w:val="28"/>
          <w:szCs w:val="28"/>
        </w:rPr>
      </w:pPr>
      <w:r w:rsidRPr="000F6130">
        <w:rPr>
          <w:rFonts w:ascii="Times New Roman" w:hAnsi="Times New Roman" w:cs="Times New Roman"/>
          <w:b/>
          <w:bCs/>
          <w:sz w:val="28"/>
          <w:szCs w:val="28"/>
        </w:rPr>
        <w:t>Таблица</w:t>
      </w:r>
      <w:r w:rsidR="00915215">
        <w:rPr>
          <w:rFonts w:ascii="Times New Roman" w:hAnsi="Times New Roman" w:cs="Times New Roman"/>
          <w:b/>
          <w:bCs/>
          <w:sz w:val="28"/>
          <w:szCs w:val="28"/>
        </w:rPr>
        <w:t xml:space="preserve"> 7</w:t>
      </w:r>
      <w:r w:rsidRPr="000F6130">
        <w:rPr>
          <w:rFonts w:ascii="Times New Roman" w:hAnsi="Times New Roman" w:cs="Times New Roman"/>
          <w:b/>
          <w:bCs/>
          <w:sz w:val="28"/>
          <w:szCs w:val="28"/>
        </w:rPr>
        <w:t>. Сравнительный анализ хирургических типов случаев</w:t>
      </w:r>
    </w:p>
    <w:tbl>
      <w:tblPr>
        <w:tblW w:w="9379" w:type="dxa"/>
        <w:tblInd w:w="89" w:type="dxa"/>
        <w:tblLayout w:type="fixed"/>
        <w:tblLook w:val="04A0" w:firstRow="1" w:lastRow="0" w:firstColumn="1" w:lastColumn="0" w:noHBand="0" w:noVBand="1"/>
      </w:tblPr>
      <w:tblGrid>
        <w:gridCol w:w="640"/>
        <w:gridCol w:w="2214"/>
        <w:gridCol w:w="1276"/>
        <w:gridCol w:w="851"/>
        <w:gridCol w:w="1558"/>
        <w:gridCol w:w="1120"/>
        <w:gridCol w:w="1720"/>
      </w:tblGrid>
      <w:tr w:rsidR="007008AA" w:rsidRPr="007008AA" w:rsidTr="00702813">
        <w:trPr>
          <w:trHeight w:val="132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7008AA" w:rsidRPr="007008AA" w:rsidRDefault="007008AA"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 </w:t>
            </w:r>
          </w:p>
        </w:tc>
        <w:tc>
          <w:tcPr>
            <w:tcW w:w="2214" w:type="dxa"/>
            <w:tcBorders>
              <w:top w:val="single" w:sz="4" w:space="0" w:color="auto"/>
              <w:left w:val="nil"/>
              <w:bottom w:val="single" w:sz="4" w:space="0" w:color="auto"/>
              <w:right w:val="single" w:sz="4" w:space="0" w:color="auto"/>
            </w:tcBorders>
            <w:shd w:val="clear" w:color="auto" w:fill="auto"/>
            <w:noWrap/>
            <w:hideMark/>
          </w:tcPr>
          <w:p w:rsidR="007008AA" w:rsidRPr="007008AA" w:rsidRDefault="007008AA"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 </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7008AA" w:rsidRPr="007008AA" w:rsidRDefault="007008AA" w:rsidP="007008AA">
            <w:pPr>
              <w:spacing w:after="0" w:line="240" w:lineRule="auto"/>
              <w:jc w:val="center"/>
              <w:rPr>
                <w:rFonts w:ascii="Times New Roman" w:eastAsia="Times New Roman" w:hAnsi="Times New Roman" w:cs="Times New Roman"/>
                <w:b/>
                <w:bCs/>
                <w:color w:val="000000"/>
                <w:lang w:eastAsia="ru-RU"/>
              </w:rPr>
            </w:pPr>
            <w:r w:rsidRPr="007008AA">
              <w:rPr>
                <w:rFonts w:ascii="Times New Roman" w:eastAsia="Times New Roman" w:hAnsi="Times New Roman" w:cs="Times New Roman"/>
                <w:b/>
                <w:bCs/>
                <w:color w:val="000000"/>
                <w:lang w:eastAsia="ru-RU"/>
              </w:rPr>
              <w:t>Средняя длительность лечения</w:t>
            </w:r>
            <w:r w:rsidR="008176B1">
              <w:rPr>
                <w:rFonts w:ascii="Times New Roman" w:eastAsia="Times New Roman" w:hAnsi="Times New Roman" w:cs="Times New Roman"/>
                <w:b/>
                <w:bCs/>
                <w:color w:val="000000"/>
                <w:lang w:eastAsia="ru-RU"/>
              </w:rPr>
              <w:t>, дней</w:t>
            </w:r>
          </w:p>
        </w:tc>
        <w:tc>
          <w:tcPr>
            <w:tcW w:w="2678" w:type="dxa"/>
            <w:gridSpan w:val="2"/>
            <w:tcBorders>
              <w:top w:val="single" w:sz="4" w:space="0" w:color="auto"/>
              <w:left w:val="nil"/>
              <w:bottom w:val="single" w:sz="4" w:space="0" w:color="auto"/>
              <w:right w:val="single" w:sz="4" w:space="0" w:color="000000"/>
            </w:tcBorders>
            <w:shd w:val="clear" w:color="auto" w:fill="auto"/>
            <w:vAlign w:val="center"/>
            <w:hideMark/>
          </w:tcPr>
          <w:p w:rsidR="007008AA" w:rsidRPr="007008AA" w:rsidRDefault="007008AA" w:rsidP="007008AA">
            <w:pPr>
              <w:spacing w:after="0" w:line="240" w:lineRule="auto"/>
              <w:jc w:val="center"/>
              <w:rPr>
                <w:rFonts w:ascii="Times New Roman" w:eastAsia="Times New Roman" w:hAnsi="Times New Roman" w:cs="Times New Roman"/>
                <w:b/>
                <w:bCs/>
                <w:color w:val="000000"/>
                <w:lang w:eastAsia="ru-RU"/>
              </w:rPr>
            </w:pPr>
            <w:r w:rsidRPr="007008AA">
              <w:rPr>
                <w:rFonts w:ascii="Times New Roman" w:eastAsia="Times New Roman" w:hAnsi="Times New Roman" w:cs="Times New Roman"/>
                <w:b/>
                <w:bCs/>
                <w:color w:val="000000"/>
                <w:lang w:eastAsia="ru-RU"/>
              </w:rPr>
              <w:t>Средняя цена за один пролеченный случай</w:t>
            </w:r>
            <w:r w:rsidR="008176B1">
              <w:rPr>
                <w:rFonts w:ascii="Times New Roman" w:eastAsia="Times New Roman" w:hAnsi="Times New Roman" w:cs="Times New Roman"/>
                <w:b/>
                <w:bCs/>
                <w:color w:val="000000"/>
                <w:lang w:eastAsia="ru-RU"/>
              </w:rPr>
              <w:t>, евро</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7008AA" w:rsidRPr="007008AA" w:rsidRDefault="007008AA" w:rsidP="007008AA">
            <w:pPr>
              <w:spacing w:after="0" w:line="240" w:lineRule="auto"/>
              <w:jc w:val="center"/>
              <w:rPr>
                <w:rFonts w:ascii="Times New Roman" w:eastAsia="Times New Roman" w:hAnsi="Times New Roman" w:cs="Times New Roman"/>
                <w:b/>
                <w:bCs/>
                <w:color w:val="000000"/>
                <w:lang w:eastAsia="ru-RU"/>
              </w:rPr>
            </w:pPr>
            <w:r w:rsidRPr="007008AA">
              <w:rPr>
                <w:rFonts w:ascii="Times New Roman" w:eastAsia="Times New Roman" w:hAnsi="Times New Roman" w:cs="Times New Roman"/>
                <w:b/>
                <w:bCs/>
                <w:color w:val="000000"/>
                <w:lang w:eastAsia="ru-RU"/>
              </w:rPr>
              <w:t>Средняя цена за один пролеченный случай</w:t>
            </w:r>
            <w:r w:rsidR="008176B1">
              <w:rPr>
                <w:rFonts w:ascii="Times New Roman" w:eastAsia="Times New Roman" w:hAnsi="Times New Roman" w:cs="Times New Roman"/>
                <w:b/>
                <w:bCs/>
                <w:color w:val="000000"/>
                <w:lang w:eastAsia="ru-RU"/>
              </w:rPr>
              <w:t>, теге</w:t>
            </w:r>
          </w:p>
        </w:tc>
      </w:tr>
      <w:tr w:rsidR="007008AA" w:rsidRPr="007008AA" w:rsidTr="00702813">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rsidR="007008AA" w:rsidRPr="007008AA" w:rsidRDefault="007008AA"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 </w:t>
            </w:r>
          </w:p>
        </w:tc>
        <w:tc>
          <w:tcPr>
            <w:tcW w:w="2214" w:type="dxa"/>
            <w:tcBorders>
              <w:top w:val="nil"/>
              <w:left w:val="nil"/>
              <w:bottom w:val="single" w:sz="4" w:space="0" w:color="auto"/>
              <w:right w:val="single" w:sz="4" w:space="0" w:color="auto"/>
            </w:tcBorders>
            <w:shd w:val="clear" w:color="auto" w:fill="auto"/>
            <w:noWrap/>
            <w:hideMark/>
          </w:tcPr>
          <w:p w:rsidR="007008AA" w:rsidRPr="007008AA" w:rsidRDefault="007008AA"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008AA" w:rsidRPr="007008AA" w:rsidRDefault="007008AA" w:rsidP="007008AA">
            <w:pPr>
              <w:spacing w:after="0" w:line="240" w:lineRule="auto"/>
              <w:jc w:val="center"/>
              <w:rPr>
                <w:rFonts w:ascii="Times New Roman" w:eastAsia="Times New Roman" w:hAnsi="Times New Roman" w:cs="Times New Roman"/>
                <w:b/>
                <w:bCs/>
                <w:color w:val="000000"/>
                <w:lang w:eastAsia="ru-RU"/>
              </w:rPr>
            </w:pPr>
            <w:r w:rsidRPr="007008AA">
              <w:rPr>
                <w:rFonts w:ascii="Times New Roman" w:eastAsia="Times New Roman" w:hAnsi="Times New Roman" w:cs="Times New Roman"/>
                <w:b/>
                <w:bCs/>
                <w:color w:val="000000"/>
                <w:lang w:eastAsia="ru-RU"/>
              </w:rPr>
              <w:t>Казахстан</w:t>
            </w:r>
          </w:p>
        </w:tc>
        <w:tc>
          <w:tcPr>
            <w:tcW w:w="851" w:type="dxa"/>
            <w:tcBorders>
              <w:top w:val="nil"/>
              <w:left w:val="nil"/>
              <w:bottom w:val="single" w:sz="4" w:space="0" w:color="auto"/>
              <w:right w:val="single" w:sz="4" w:space="0" w:color="auto"/>
            </w:tcBorders>
            <w:shd w:val="clear" w:color="auto" w:fill="auto"/>
            <w:noWrap/>
            <w:vAlign w:val="center"/>
            <w:hideMark/>
          </w:tcPr>
          <w:p w:rsidR="007008AA" w:rsidRPr="007008AA" w:rsidRDefault="007008AA" w:rsidP="007008AA">
            <w:pPr>
              <w:spacing w:after="0" w:line="240" w:lineRule="auto"/>
              <w:jc w:val="center"/>
              <w:rPr>
                <w:rFonts w:ascii="Times New Roman" w:eastAsia="Times New Roman" w:hAnsi="Times New Roman" w:cs="Times New Roman"/>
                <w:b/>
                <w:bCs/>
                <w:color w:val="000000"/>
                <w:lang w:eastAsia="ru-RU"/>
              </w:rPr>
            </w:pPr>
            <w:r w:rsidRPr="007008AA">
              <w:rPr>
                <w:rFonts w:ascii="Times New Roman" w:eastAsia="Times New Roman" w:hAnsi="Times New Roman" w:cs="Times New Roman"/>
                <w:b/>
                <w:bCs/>
                <w:color w:val="000000"/>
                <w:lang w:eastAsia="ru-RU"/>
              </w:rPr>
              <w:t>ОЭСР</w:t>
            </w:r>
          </w:p>
        </w:tc>
        <w:tc>
          <w:tcPr>
            <w:tcW w:w="1558" w:type="dxa"/>
            <w:tcBorders>
              <w:top w:val="nil"/>
              <w:left w:val="nil"/>
              <w:bottom w:val="single" w:sz="4" w:space="0" w:color="auto"/>
              <w:right w:val="single" w:sz="4" w:space="0" w:color="auto"/>
            </w:tcBorders>
            <w:shd w:val="clear" w:color="auto" w:fill="auto"/>
            <w:noWrap/>
            <w:vAlign w:val="center"/>
            <w:hideMark/>
          </w:tcPr>
          <w:p w:rsidR="007008AA" w:rsidRPr="007008AA" w:rsidRDefault="007008AA" w:rsidP="007008AA">
            <w:pPr>
              <w:spacing w:after="0" w:line="240" w:lineRule="auto"/>
              <w:jc w:val="center"/>
              <w:rPr>
                <w:rFonts w:ascii="Times New Roman" w:eastAsia="Times New Roman" w:hAnsi="Times New Roman" w:cs="Times New Roman"/>
                <w:b/>
                <w:bCs/>
                <w:color w:val="000000"/>
                <w:lang w:eastAsia="ru-RU"/>
              </w:rPr>
            </w:pPr>
            <w:r w:rsidRPr="007008AA">
              <w:rPr>
                <w:rFonts w:ascii="Times New Roman" w:eastAsia="Times New Roman" w:hAnsi="Times New Roman" w:cs="Times New Roman"/>
                <w:b/>
                <w:bCs/>
                <w:color w:val="000000"/>
                <w:lang w:eastAsia="ru-RU"/>
              </w:rPr>
              <w:t>Казахстан</w:t>
            </w:r>
          </w:p>
        </w:tc>
        <w:tc>
          <w:tcPr>
            <w:tcW w:w="1120" w:type="dxa"/>
            <w:tcBorders>
              <w:top w:val="nil"/>
              <w:left w:val="nil"/>
              <w:bottom w:val="single" w:sz="4" w:space="0" w:color="auto"/>
              <w:right w:val="single" w:sz="4" w:space="0" w:color="auto"/>
            </w:tcBorders>
            <w:shd w:val="clear" w:color="auto" w:fill="auto"/>
            <w:noWrap/>
            <w:vAlign w:val="center"/>
            <w:hideMark/>
          </w:tcPr>
          <w:p w:rsidR="007008AA" w:rsidRPr="007008AA" w:rsidRDefault="007008AA" w:rsidP="007008AA">
            <w:pPr>
              <w:spacing w:after="0" w:line="240" w:lineRule="auto"/>
              <w:jc w:val="center"/>
              <w:rPr>
                <w:rFonts w:ascii="Times New Roman" w:eastAsia="Times New Roman" w:hAnsi="Times New Roman" w:cs="Times New Roman"/>
                <w:b/>
                <w:bCs/>
                <w:color w:val="000000"/>
                <w:lang w:eastAsia="ru-RU"/>
              </w:rPr>
            </w:pPr>
            <w:r w:rsidRPr="007008AA">
              <w:rPr>
                <w:rFonts w:ascii="Times New Roman" w:eastAsia="Times New Roman" w:hAnsi="Times New Roman" w:cs="Times New Roman"/>
                <w:b/>
                <w:bCs/>
                <w:color w:val="000000"/>
                <w:lang w:eastAsia="ru-RU"/>
              </w:rPr>
              <w:t>ОЭСР</w:t>
            </w:r>
          </w:p>
        </w:tc>
        <w:tc>
          <w:tcPr>
            <w:tcW w:w="1720" w:type="dxa"/>
            <w:tcBorders>
              <w:top w:val="nil"/>
              <w:left w:val="nil"/>
              <w:bottom w:val="single" w:sz="4" w:space="0" w:color="auto"/>
              <w:right w:val="single" w:sz="4" w:space="0" w:color="auto"/>
            </w:tcBorders>
            <w:shd w:val="clear" w:color="auto" w:fill="auto"/>
            <w:noWrap/>
            <w:hideMark/>
          </w:tcPr>
          <w:p w:rsidR="007008AA" w:rsidRPr="007008AA" w:rsidRDefault="008176B1" w:rsidP="008176B1">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b/>
                <w:bCs/>
                <w:color w:val="000000"/>
                <w:lang w:eastAsia="ru-RU"/>
              </w:rPr>
              <w:t>Казахстан</w:t>
            </w:r>
          </w:p>
        </w:tc>
      </w:tr>
      <w:tr w:rsidR="008B0B7F" w:rsidRPr="007008AA" w:rsidTr="008B0B7F">
        <w:trPr>
          <w:trHeight w:val="315"/>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S01 Аппендэктомия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7</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3,5</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35</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3 223</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12 768</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S02 Кесарево сечение</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7</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50</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3 112</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18 338</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S03 Холецистэктомия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3,7</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47</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2 697</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15 154</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S04 Колоректальная резекция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18</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11,6</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62</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7 134</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9 265</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S05 Шунтирование коронарной артерии</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17</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11,4</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45</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13 015</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80 541</w:t>
            </w:r>
          </w:p>
        </w:tc>
      </w:tr>
      <w:tr w:rsidR="008B0B7F" w:rsidRPr="007008AA" w:rsidTr="008B0B7F">
        <w:trPr>
          <w:trHeight w:val="315"/>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6</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S06 Диссектомия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13</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5,3</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33</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3 447</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20 223</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7</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S07 Эндартерэктомия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5,2</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98</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5 579</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36 099</w:t>
            </w:r>
          </w:p>
        </w:tc>
      </w:tr>
      <w:tr w:rsidR="008B0B7F" w:rsidRPr="007008AA" w:rsidTr="008B0B7F">
        <w:trPr>
          <w:trHeight w:val="126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S08 Замена тазобедренного сустава: общая и частичная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12</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2,1</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209</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6 701</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77 044</w:t>
            </w:r>
          </w:p>
        </w:tc>
      </w:tr>
      <w:tr w:rsidR="008B0B7F" w:rsidRPr="007008AA" w:rsidTr="008B0B7F">
        <w:trPr>
          <w:trHeight w:val="945"/>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lastRenderedPageBreak/>
              <w:t>9</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S09Гистерэктомия: брюшная или вагинальная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5,4</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164</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3 450</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60 285</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10</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S10 Замена коленного сустава</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8,8</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238</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6 505</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87 684</w:t>
            </w:r>
          </w:p>
        </w:tc>
      </w:tr>
      <w:tr w:rsidR="008B0B7F" w:rsidRPr="007008AA" w:rsidTr="008B0B7F">
        <w:trPr>
          <w:trHeight w:val="315"/>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11</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S11 Мастэктомия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15</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5,3</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32</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3 795</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11 635</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12</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S12 Открытая простатэктомия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14</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7,9</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24</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5 276</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8 762</w:t>
            </w:r>
          </w:p>
        </w:tc>
      </w:tr>
      <w:tr w:rsidR="008B0B7F" w:rsidRPr="007008AA" w:rsidTr="008B0B7F">
        <w:trPr>
          <w:trHeight w:val="126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13</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S13Чрескожная транслюминальная коронарная ангиопластика</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2,4</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268</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5 102</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98 824</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15</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S15 Ремонт паховой грыжи</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4,8</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35</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1 849</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13 005</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16</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S16 Тиреоидэктомия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9</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3,4</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42</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3 159</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15 551</w:t>
            </w:r>
          </w:p>
        </w:tc>
      </w:tr>
      <w:tr w:rsidR="008B0B7F" w:rsidRPr="007008AA" w:rsidTr="008B0B7F">
        <w:trPr>
          <w:trHeight w:val="126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17</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S17</w:t>
            </w:r>
            <w:r>
              <w:rPr>
                <w:rFonts w:ascii="Times New Roman" w:eastAsia="Times New Roman" w:hAnsi="Times New Roman" w:cs="Times New Roman"/>
                <w:color w:val="000000"/>
                <w:sz w:val="24"/>
                <w:szCs w:val="24"/>
                <w:lang w:eastAsia="ru-RU"/>
              </w:rPr>
              <w:t xml:space="preserve"> </w:t>
            </w:r>
            <w:r w:rsidRPr="007008AA">
              <w:rPr>
                <w:rFonts w:ascii="Times New Roman" w:eastAsia="Times New Roman" w:hAnsi="Times New Roman" w:cs="Times New Roman"/>
                <w:color w:val="000000"/>
                <w:sz w:val="24"/>
                <w:szCs w:val="24"/>
                <w:lang w:eastAsia="ru-RU"/>
              </w:rPr>
              <w:t>Трансуретральная резекция предстательной железы</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9</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4,8</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51</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2 592</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18 830</w:t>
            </w:r>
          </w:p>
        </w:tc>
      </w:tr>
      <w:tr w:rsidR="008B0B7F" w:rsidRPr="007008AA" w:rsidTr="008B0B7F">
        <w:trPr>
          <w:trHeight w:val="126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18</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S18 Артроскопическое удаление мениска колена</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8</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2,1</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47</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1 591</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17 793</w:t>
            </w:r>
          </w:p>
        </w:tc>
      </w:tr>
      <w:tr w:rsidR="008B0B7F" w:rsidRPr="007008AA" w:rsidTr="008B0B7F">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19</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S19 Процедуры линз и катаракты</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1,7</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62</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1 688</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22 829</w:t>
            </w:r>
          </w:p>
        </w:tc>
      </w:tr>
      <w:tr w:rsidR="008B0B7F" w:rsidRPr="007008AA" w:rsidTr="008B0B7F">
        <w:trPr>
          <w:trHeight w:val="1260"/>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20</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S20 Лигирование и зачистка варикозных вен - нижняя конечность</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7</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2,1</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45</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1 688</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16 486</w:t>
            </w:r>
          </w:p>
        </w:tc>
      </w:tr>
      <w:tr w:rsidR="008B0B7F" w:rsidRPr="007008AA" w:rsidTr="008B0B7F">
        <w:trPr>
          <w:trHeight w:val="945"/>
        </w:trPr>
        <w:tc>
          <w:tcPr>
            <w:tcW w:w="640" w:type="dxa"/>
            <w:tcBorders>
              <w:top w:val="nil"/>
              <w:left w:val="single" w:sz="4" w:space="0" w:color="auto"/>
              <w:bottom w:val="single" w:sz="4" w:space="0" w:color="auto"/>
              <w:right w:val="single" w:sz="4" w:space="0" w:color="auto"/>
            </w:tcBorders>
            <w:shd w:val="clear" w:color="auto" w:fill="auto"/>
            <w:noWrap/>
            <w:hideMark/>
          </w:tcPr>
          <w:p w:rsidR="008B0B7F" w:rsidRPr="007008AA" w:rsidRDefault="008B0B7F" w:rsidP="007008AA">
            <w:pPr>
              <w:spacing w:after="0" w:line="240" w:lineRule="auto"/>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21</w:t>
            </w:r>
          </w:p>
        </w:tc>
        <w:tc>
          <w:tcPr>
            <w:tcW w:w="2214" w:type="dxa"/>
            <w:tcBorders>
              <w:top w:val="nil"/>
              <w:left w:val="nil"/>
              <w:bottom w:val="single" w:sz="4" w:space="0" w:color="auto"/>
              <w:right w:val="single" w:sz="4" w:space="0" w:color="auto"/>
            </w:tcBorders>
            <w:shd w:val="clear" w:color="auto" w:fill="auto"/>
            <w:hideMark/>
          </w:tcPr>
          <w:p w:rsidR="008B0B7F" w:rsidRPr="007008AA" w:rsidRDefault="008B0B7F" w:rsidP="007008AA">
            <w:pPr>
              <w:spacing w:after="0" w:line="240" w:lineRule="auto"/>
              <w:rPr>
                <w:rFonts w:ascii="Times New Roman" w:eastAsia="Times New Roman" w:hAnsi="Times New Roman" w:cs="Times New Roman"/>
                <w:color w:val="000000"/>
                <w:sz w:val="24"/>
                <w:szCs w:val="24"/>
                <w:lang w:eastAsia="ru-RU"/>
              </w:rPr>
            </w:pPr>
            <w:r w:rsidRPr="007008AA">
              <w:rPr>
                <w:rFonts w:ascii="Times New Roman" w:eastAsia="Times New Roman" w:hAnsi="Times New Roman" w:cs="Times New Roman"/>
                <w:color w:val="000000"/>
                <w:sz w:val="24"/>
                <w:szCs w:val="24"/>
                <w:lang w:eastAsia="ru-RU"/>
              </w:rPr>
              <w:t>S21 Тонзилэктомия и / или аденоидэктомия</w:t>
            </w:r>
          </w:p>
        </w:tc>
        <w:tc>
          <w:tcPr>
            <w:tcW w:w="1276"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5</w:t>
            </w:r>
          </w:p>
        </w:tc>
        <w:tc>
          <w:tcPr>
            <w:tcW w:w="851"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2</w:t>
            </w:r>
          </w:p>
        </w:tc>
        <w:tc>
          <w:tcPr>
            <w:tcW w:w="1558"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49</w:t>
            </w:r>
          </w:p>
        </w:tc>
        <w:tc>
          <w:tcPr>
            <w:tcW w:w="1120" w:type="dxa"/>
            <w:tcBorders>
              <w:top w:val="nil"/>
              <w:left w:val="nil"/>
              <w:bottom w:val="single" w:sz="4" w:space="0" w:color="auto"/>
              <w:right w:val="single" w:sz="4" w:space="0" w:color="auto"/>
            </w:tcBorders>
            <w:shd w:val="clear" w:color="auto" w:fill="auto"/>
            <w:noWrap/>
            <w:vAlign w:val="center"/>
            <w:hideMark/>
          </w:tcPr>
          <w:p w:rsidR="008B0B7F" w:rsidRPr="008B0B7F" w:rsidRDefault="008B0B7F" w:rsidP="008B0B7F">
            <w:pPr>
              <w:jc w:val="center"/>
              <w:rPr>
                <w:rFonts w:ascii="Times New Roman" w:hAnsi="Times New Roman" w:cs="Times New Roman"/>
                <w:bCs/>
                <w:color w:val="000000"/>
              </w:rPr>
            </w:pPr>
            <w:r w:rsidRPr="008B0B7F">
              <w:rPr>
                <w:rFonts w:ascii="Times New Roman" w:hAnsi="Times New Roman" w:cs="Times New Roman"/>
                <w:bCs/>
                <w:color w:val="000000"/>
              </w:rPr>
              <w:t>1 382</w:t>
            </w:r>
          </w:p>
        </w:tc>
        <w:tc>
          <w:tcPr>
            <w:tcW w:w="1720" w:type="dxa"/>
            <w:tcBorders>
              <w:top w:val="nil"/>
              <w:left w:val="nil"/>
              <w:bottom w:val="single" w:sz="4" w:space="0" w:color="auto"/>
              <w:right w:val="single" w:sz="4" w:space="0" w:color="auto"/>
            </w:tcBorders>
            <w:shd w:val="clear" w:color="auto" w:fill="auto"/>
            <w:noWrap/>
            <w:vAlign w:val="center"/>
            <w:hideMark/>
          </w:tcPr>
          <w:p w:rsidR="008B0B7F" w:rsidRPr="007008AA" w:rsidRDefault="008B0B7F" w:rsidP="00557FAB">
            <w:pPr>
              <w:spacing w:after="0" w:line="240" w:lineRule="auto"/>
              <w:jc w:val="center"/>
              <w:rPr>
                <w:rFonts w:ascii="Times New Roman" w:eastAsia="Times New Roman" w:hAnsi="Times New Roman" w:cs="Times New Roman"/>
                <w:color w:val="000000"/>
                <w:lang w:eastAsia="ru-RU"/>
              </w:rPr>
            </w:pPr>
            <w:r w:rsidRPr="007008AA">
              <w:rPr>
                <w:rFonts w:ascii="Times New Roman" w:eastAsia="Times New Roman" w:hAnsi="Times New Roman" w:cs="Times New Roman"/>
                <w:color w:val="000000"/>
                <w:lang w:eastAsia="ru-RU"/>
              </w:rPr>
              <w:t>12 337</w:t>
            </w:r>
          </w:p>
        </w:tc>
      </w:tr>
    </w:tbl>
    <w:p w:rsidR="0027469D" w:rsidRDefault="0027469D" w:rsidP="0027469D">
      <w:pPr>
        <w:spacing w:after="0" w:line="240" w:lineRule="auto"/>
        <w:ind w:firstLine="709"/>
        <w:contextualSpacing/>
        <w:jc w:val="both"/>
        <w:rPr>
          <w:rFonts w:ascii="Times New Roman" w:hAnsi="Times New Roman" w:cs="Times New Roman"/>
          <w:bCs/>
          <w:sz w:val="28"/>
          <w:szCs w:val="28"/>
        </w:rPr>
      </w:pPr>
    </w:p>
    <w:p w:rsidR="0027469D" w:rsidRPr="003E3010" w:rsidRDefault="00E41F65" w:rsidP="003E3010">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Как следует из таблицы 8 наибольшая стоимость за один пролеченный случай наблюдается по</w:t>
      </w:r>
      <w:r w:rsidR="00837DD3">
        <w:rPr>
          <w:rFonts w:ascii="Times New Roman" w:hAnsi="Times New Roman" w:cs="Times New Roman"/>
          <w:bCs/>
          <w:sz w:val="28"/>
          <w:szCs w:val="28"/>
        </w:rPr>
        <w:t xml:space="preserve"> «</w:t>
      </w:r>
      <w:r w:rsidR="00837DD3" w:rsidRPr="00837DD3">
        <w:rPr>
          <w:rFonts w:ascii="Times New Roman" w:hAnsi="Times New Roman" w:cs="Times New Roman"/>
          <w:bCs/>
          <w:sz w:val="28"/>
          <w:szCs w:val="28"/>
        </w:rPr>
        <w:t>S13Чрескожная транслюминальная коронарная ангиопластика</w:t>
      </w:r>
      <w:r w:rsidR="00837DD3">
        <w:rPr>
          <w:rFonts w:ascii="Times New Roman" w:hAnsi="Times New Roman" w:cs="Times New Roman"/>
          <w:bCs/>
          <w:sz w:val="28"/>
          <w:szCs w:val="28"/>
        </w:rPr>
        <w:t xml:space="preserve">» - 98 824 тенге и </w:t>
      </w:r>
      <w:r>
        <w:rPr>
          <w:rFonts w:ascii="Times New Roman" w:hAnsi="Times New Roman" w:cs="Times New Roman"/>
          <w:bCs/>
          <w:sz w:val="28"/>
          <w:szCs w:val="28"/>
        </w:rPr>
        <w:t xml:space="preserve"> «</w:t>
      </w:r>
      <w:r w:rsidRPr="00E41F65">
        <w:rPr>
          <w:rFonts w:ascii="Times New Roman" w:hAnsi="Times New Roman" w:cs="Times New Roman"/>
          <w:bCs/>
          <w:sz w:val="28"/>
          <w:szCs w:val="28"/>
        </w:rPr>
        <w:t>S08 Замена тазобедренного сустава: общая и частичная</w:t>
      </w:r>
      <w:r>
        <w:rPr>
          <w:rFonts w:ascii="Times New Roman" w:hAnsi="Times New Roman" w:cs="Times New Roman"/>
          <w:bCs/>
          <w:sz w:val="28"/>
          <w:szCs w:val="28"/>
        </w:rPr>
        <w:t>» - 77 044 тенге</w:t>
      </w:r>
      <w:r w:rsidR="00773E17">
        <w:rPr>
          <w:rFonts w:ascii="Times New Roman" w:hAnsi="Times New Roman" w:cs="Times New Roman"/>
          <w:bCs/>
          <w:sz w:val="28"/>
          <w:szCs w:val="28"/>
        </w:rPr>
        <w:t>.</w:t>
      </w:r>
      <w:r w:rsidR="008D4FA1">
        <w:rPr>
          <w:rFonts w:ascii="Times New Roman" w:hAnsi="Times New Roman" w:cs="Times New Roman"/>
          <w:bCs/>
          <w:sz w:val="28"/>
          <w:szCs w:val="28"/>
        </w:rPr>
        <w:t xml:space="preserve"> </w:t>
      </w:r>
      <w:r w:rsidR="008B0B7F">
        <w:rPr>
          <w:rFonts w:ascii="Times New Roman" w:hAnsi="Times New Roman" w:cs="Times New Roman"/>
          <w:bCs/>
          <w:sz w:val="28"/>
          <w:szCs w:val="28"/>
        </w:rPr>
        <w:t>По данной выборке наименьшая стоимость одного пролеченного случая сформировалась по «</w:t>
      </w:r>
      <w:r w:rsidR="008B0B7F" w:rsidRPr="008B0B7F">
        <w:rPr>
          <w:rFonts w:ascii="Times New Roman" w:hAnsi="Times New Roman" w:cs="Times New Roman"/>
          <w:bCs/>
          <w:sz w:val="28"/>
          <w:szCs w:val="28"/>
        </w:rPr>
        <w:t>S04 Колоректальная резекция</w:t>
      </w:r>
      <w:r w:rsidR="008B0B7F">
        <w:rPr>
          <w:rFonts w:ascii="Times New Roman" w:hAnsi="Times New Roman" w:cs="Times New Roman"/>
          <w:bCs/>
          <w:sz w:val="28"/>
          <w:szCs w:val="28"/>
        </w:rPr>
        <w:t>» - 9 265 тенге и «</w:t>
      </w:r>
      <w:r w:rsidR="008B0B7F" w:rsidRPr="008B0B7F">
        <w:rPr>
          <w:rFonts w:ascii="Times New Roman" w:hAnsi="Times New Roman" w:cs="Times New Roman"/>
          <w:bCs/>
          <w:sz w:val="28"/>
          <w:szCs w:val="28"/>
        </w:rPr>
        <w:t>S12 Открытая простатэктомия</w:t>
      </w:r>
      <w:r w:rsidR="008B0B7F">
        <w:rPr>
          <w:rFonts w:ascii="Times New Roman" w:hAnsi="Times New Roman" w:cs="Times New Roman"/>
          <w:bCs/>
          <w:sz w:val="28"/>
          <w:szCs w:val="28"/>
        </w:rPr>
        <w:t xml:space="preserve">» 8 762 тенге. </w:t>
      </w:r>
      <w:r w:rsidR="0027469D">
        <w:rPr>
          <w:rFonts w:ascii="Times New Roman" w:hAnsi="Times New Roman" w:cs="Times New Roman"/>
          <w:bCs/>
          <w:sz w:val="28"/>
          <w:szCs w:val="28"/>
        </w:rPr>
        <w:t xml:space="preserve">Наибольшая цена за один пролеченный случай </w:t>
      </w:r>
      <w:r w:rsidR="003E3010">
        <w:rPr>
          <w:rFonts w:ascii="Times New Roman" w:hAnsi="Times New Roman" w:cs="Times New Roman"/>
          <w:bCs/>
          <w:sz w:val="28"/>
          <w:szCs w:val="28"/>
        </w:rPr>
        <w:t>по ОЭСР наблюдалась по «</w:t>
      </w:r>
      <w:r w:rsidR="003E3010" w:rsidRPr="003E3010">
        <w:rPr>
          <w:rFonts w:ascii="Times New Roman" w:hAnsi="Times New Roman" w:cs="Times New Roman"/>
          <w:bCs/>
          <w:sz w:val="28"/>
          <w:szCs w:val="28"/>
        </w:rPr>
        <w:t>S05 Шунтирование коронарной артерии</w:t>
      </w:r>
      <w:r w:rsidR="003E3010">
        <w:rPr>
          <w:rFonts w:ascii="Times New Roman" w:hAnsi="Times New Roman" w:cs="Times New Roman"/>
          <w:bCs/>
          <w:sz w:val="28"/>
          <w:szCs w:val="28"/>
        </w:rPr>
        <w:t>» - 13 015 евро, наименьший по «</w:t>
      </w:r>
      <w:r w:rsidR="003E3010" w:rsidRPr="003E3010">
        <w:rPr>
          <w:rFonts w:ascii="Times New Roman" w:hAnsi="Times New Roman" w:cs="Times New Roman"/>
          <w:bCs/>
          <w:sz w:val="28"/>
          <w:szCs w:val="28"/>
        </w:rPr>
        <w:t>S21 Тонзилэктомия и / или аденоидэктомия</w:t>
      </w:r>
      <w:r w:rsidR="003E3010">
        <w:rPr>
          <w:rFonts w:ascii="Times New Roman" w:hAnsi="Times New Roman" w:cs="Times New Roman"/>
          <w:bCs/>
          <w:sz w:val="28"/>
          <w:szCs w:val="28"/>
        </w:rPr>
        <w:t>» - 1 382 евро.</w:t>
      </w:r>
    </w:p>
    <w:p w:rsidR="001A2AAF" w:rsidRPr="000F6130" w:rsidRDefault="001A2AAF" w:rsidP="00C14434">
      <w:pPr>
        <w:spacing w:after="0" w:line="240" w:lineRule="auto"/>
        <w:ind w:firstLine="709"/>
        <w:jc w:val="both"/>
        <w:rPr>
          <w:rFonts w:ascii="Times New Roman" w:hAnsi="Times New Roman" w:cs="Times New Roman"/>
          <w:b/>
          <w:bCs/>
          <w:sz w:val="28"/>
          <w:szCs w:val="28"/>
        </w:rPr>
      </w:pPr>
      <w:r w:rsidRPr="000F6130">
        <w:rPr>
          <w:rFonts w:ascii="Times New Roman" w:hAnsi="Times New Roman" w:cs="Times New Roman"/>
          <w:b/>
          <w:bCs/>
          <w:sz w:val="28"/>
          <w:szCs w:val="28"/>
        </w:rPr>
        <w:lastRenderedPageBreak/>
        <w:t>Таблица</w:t>
      </w:r>
      <w:r w:rsidR="00915215">
        <w:rPr>
          <w:rFonts w:ascii="Times New Roman" w:hAnsi="Times New Roman" w:cs="Times New Roman"/>
          <w:b/>
          <w:bCs/>
          <w:sz w:val="28"/>
          <w:szCs w:val="28"/>
        </w:rPr>
        <w:t xml:space="preserve"> 8</w:t>
      </w:r>
      <w:r w:rsidRPr="000F6130">
        <w:rPr>
          <w:rFonts w:ascii="Times New Roman" w:hAnsi="Times New Roman" w:cs="Times New Roman"/>
          <w:b/>
          <w:bCs/>
          <w:sz w:val="28"/>
          <w:szCs w:val="28"/>
        </w:rPr>
        <w:t>. Сравнительный анализ расходов на хирургические случаи по поставщикам медицинских услуг</w:t>
      </w:r>
    </w:p>
    <w:tbl>
      <w:tblPr>
        <w:tblW w:w="9087" w:type="dxa"/>
        <w:tblInd w:w="93" w:type="dxa"/>
        <w:tblLayout w:type="fixed"/>
        <w:tblLook w:val="04A0" w:firstRow="1" w:lastRow="0" w:firstColumn="1" w:lastColumn="0" w:noHBand="0" w:noVBand="1"/>
      </w:tblPr>
      <w:tblGrid>
        <w:gridCol w:w="500"/>
        <w:gridCol w:w="2265"/>
        <w:gridCol w:w="1503"/>
        <w:gridCol w:w="1843"/>
        <w:gridCol w:w="1275"/>
        <w:gridCol w:w="851"/>
        <w:gridCol w:w="850"/>
      </w:tblGrid>
      <w:tr w:rsidR="00A418C0" w:rsidRPr="000F6130" w:rsidTr="004F2F4B">
        <w:trPr>
          <w:trHeight w:val="1320"/>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A418C0" w:rsidRPr="000F6130" w:rsidRDefault="00A418C0" w:rsidP="000F6130">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 </w:t>
            </w:r>
          </w:p>
        </w:tc>
        <w:tc>
          <w:tcPr>
            <w:tcW w:w="226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A418C0" w:rsidRPr="000F6130" w:rsidRDefault="00A418C0" w:rsidP="000F6130">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 </w:t>
            </w:r>
          </w:p>
        </w:tc>
        <w:tc>
          <w:tcPr>
            <w:tcW w:w="15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8C0" w:rsidRPr="000F6130" w:rsidRDefault="00A418C0" w:rsidP="000F6130">
            <w:pPr>
              <w:spacing w:after="0" w:line="240" w:lineRule="auto"/>
              <w:jc w:val="center"/>
              <w:rPr>
                <w:rFonts w:ascii="Times New Roman" w:eastAsia="Times New Roman" w:hAnsi="Times New Roman" w:cs="Times New Roman"/>
                <w:b/>
                <w:bCs/>
                <w:color w:val="000000"/>
                <w:sz w:val="20"/>
                <w:szCs w:val="20"/>
                <w:lang w:eastAsia="ru-RU"/>
              </w:rPr>
            </w:pPr>
            <w:r w:rsidRPr="000F6130">
              <w:rPr>
                <w:rFonts w:ascii="Times New Roman" w:eastAsia="Times New Roman" w:hAnsi="Times New Roman" w:cs="Times New Roman"/>
                <w:b/>
                <w:bCs/>
                <w:color w:val="000000"/>
                <w:sz w:val="20"/>
                <w:szCs w:val="20"/>
                <w:lang w:eastAsia="ru-RU"/>
              </w:rPr>
              <w:t>Средняя цена за один пролеченный случай</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8C0" w:rsidRPr="000F6130" w:rsidRDefault="00A418C0" w:rsidP="000F6130">
            <w:pPr>
              <w:spacing w:after="0" w:line="240" w:lineRule="auto"/>
              <w:jc w:val="center"/>
              <w:rPr>
                <w:rFonts w:ascii="Times New Roman" w:eastAsia="Times New Roman" w:hAnsi="Times New Roman" w:cs="Times New Roman"/>
                <w:b/>
                <w:bCs/>
                <w:color w:val="000000"/>
                <w:sz w:val="20"/>
                <w:szCs w:val="20"/>
                <w:lang w:eastAsia="ru-RU"/>
              </w:rPr>
            </w:pPr>
            <w:r w:rsidRPr="000F6130">
              <w:rPr>
                <w:rFonts w:ascii="Times New Roman" w:eastAsia="Times New Roman" w:hAnsi="Times New Roman" w:cs="Times New Roman"/>
                <w:b/>
                <w:bCs/>
                <w:color w:val="000000"/>
                <w:sz w:val="20"/>
                <w:szCs w:val="20"/>
                <w:lang w:eastAsia="ru-RU"/>
              </w:rPr>
              <w:t>Государственный сектор</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8C0" w:rsidRPr="000F6130" w:rsidRDefault="00A418C0" w:rsidP="000F6130">
            <w:pPr>
              <w:spacing w:after="0" w:line="240" w:lineRule="auto"/>
              <w:jc w:val="center"/>
              <w:rPr>
                <w:rFonts w:ascii="Times New Roman" w:eastAsia="Times New Roman" w:hAnsi="Times New Roman" w:cs="Times New Roman"/>
                <w:b/>
                <w:bCs/>
                <w:color w:val="000000"/>
                <w:sz w:val="20"/>
                <w:szCs w:val="20"/>
                <w:lang w:eastAsia="ru-RU"/>
              </w:rPr>
            </w:pPr>
            <w:r w:rsidRPr="000F6130">
              <w:rPr>
                <w:rFonts w:ascii="Times New Roman" w:eastAsia="Times New Roman" w:hAnsi="Times New Roman" w:cs="Times New Roman"/>
                <w:b/>
                <w:bCs/>
                <w:color w:val="000000"/>
                <w:sz w:val="20"/>
                <w:szCs w:val="20"/>
                <w:lang w:eastAsia="ru-RU"/>
              </w:rPr>
              <w:t>Частный сектор</w:t>
            </w:r>
          </w:p>
        </w:tc>
        <w:tc>
          <w:tcPr>
            <w:tcW w:w="1701" w:type="dxa"/>
            <w:gridSpan w:val="2"/>
            <w:tcBorders>
              <w:top w:val="single" w:sz="4" w:space="0" w:color="auto"/>
              <w:left w:val="single" w:sz="4" w:space="0" w:color="auto"/>
              <w:bottom w:val="single" w:sz="4" w:space="0" w:color="000000"/>
              <w:right w:val="single" w:sz="4" w:space="0" w:color="auto"/>
            </w:tcBorders>
          </w:tcPr>
          <w:p w:rsidR="00A418C0" w:rsidRPr="000F6130" w:rsidRDefault="00A418C0" w:rsidP="000F613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Структура типов случаев</w:t>
            </w:r>
          </w:p>
        </w:tc>
      </w:tr>
      <w:tr w:rsidR="00A418C0" w:rsidRPr="000F6130" w:rsidTr="00A418C0">
        <w:trPr>
          <w:trHeight w:val="300"/>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A418C0" w:rsidRPr="000F6130" w:rsidRDefault="00A418C0" w:rsidP="000F6130">
            <w:pPr>
              <w:spacing w:after="0" w:line="240" w:lineRule="auto"/>
              <w:rPr>
                <w:rFonts w:ascii="Times New Roman" w:eastAsia="Times New Roman" w:hAnsi="Times New Roman" w:cs="Times New Roman"/>
                <w:color w:val="000000"/>
                <w:sz w:val="20"/>
                <w:szCs w:val="20"/>
                <w:lang w:eastAsia="ru-RU"/>
              </w:rPr>
            </w:pPr>
          </w:p>
        </w:tc>
        <w:tc>
          <w:tcPr>
            <w:tcW w:w="2265" w:type="dxa"/>
            <w:vMerge/>
            <w:tcBorders>
              <w:top w:val="single" w:sz="4" w:space="0" w:color="auto"/>
              <w:left w:val="single" w:sz="4" w:space="0" w:color="auto"/>
              <w:bottom w:val="single" w:sz="4" w:space="0" w:color="000000"/>
              <w:right w:val="single" w:sz="4" w:space="0" w:color="auto"/>
            </w:tcBorders>
            <w:vAlign w:val="center"/>
            <w:hideMark/>
          </w:tcPr>
          <w:p w:rsidR="00A418C0" w:rsidRPr="000F6130" w:rsidRDefault="00A418C0" w:rsidP="000F6130">
            <w:pPr>
              <w:spacing w:after="0" w:line="240" w:lineRule="auto"/>
              <w:rPr>
                <w:rFonts w:ascii="Times New Roman" w:eastAsia="Times New Roman" w:hAnsi="Times New Roman" w:cs="Times New Roman"/>
                <w:color w:val="000000"/>
                <w:sz w:val="20"/>
                <w:szCs w:val="20"/>
                <w:lang w:eastAsia="ru-RU"/>
              </w:rPr>
            </w:pPr>
          </w:p>
        </w:tc>
        <w:tc>
          <w:tcPr>
            <w:tcW w:w="1503" w:type="dxa"/>
            <w:vMerge/>
            <w:tcBorders>
              <w:top w:val="single" w:sz="4" w:space="0" w:color="auto"/>
              <w:left w:val="single" w:sz="4" w:space="0" w:color="auto"/>
              <w:bottom w:val="single" w:sz="4" w:space="0" w:color="000000"/>
              <w:right w:val="single" w:sz="4" w:space="0" w:color="auto"/>
            </w:tcBorders>
            <w:vAlign w:val="center"/>
            <w:hideMark/>
          </w:tcPr>
          <w:p w:rsidR="00A418C0" w:rsidRPr="000F6130" w:rsidRDefault="00A418C0" w:rsidP="000F6130">
            <w:pPr>
              <w:spacing w:after="0" w:line="240" w:lineRule="auto"/>
              <w:rPr>
                <w:rFonts w:ascii="Times New Roman" w:eastAsia="Times New Roman" w:hAnsi="Times New Roman" w:cs="Times New Roman"/>
                <w:b/>
                <w:bCs/>
                <w:color w:val="000000"/>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A418C0" w:rsidRPr="000F6130" w:rsidRDefault="00A418C0" w:rsidP="000F6130">
            <w:pPr>
              <w:spacing w:after="0" w:line="240" w:lineRule="auto"/>
              <w:rPr>
                <w:rFonts w:ascii="Times New Roman" w:eastAsia="Times New Roman" w:hAnsi="Times New Roman" w:cs="Times New Roman"/>
                <w:b/>
                <w:bCs/>
                <w:color w:val="000000"/>
                <w:sz w:val="20"/>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A418C0" w:rsidRPr="000F6130" w:rsidRDefault="00A418C0" w:rsidP="000F6130">
            <w:pPr>
              <w:spacing w:after="0" w:line="240" w:lineRule="auto"/>
              <w:rPr>
                <w:rFonts w:ascii="Times New Roman" w:eastAsia="Times New Roman" w:hAnsi="Times New Roman" w:cs="Times New Roman"/>
                <w:b/>
                <w:bCs/>
                <w:color w:val="000000"/>
                <w:sz w:val="20"/>
                <w:szCs w:val="20"/>
                <w:lang w:eastAsia="ru-RU"/>
              </w:rPr>
            </w:pPr>
          </w:p>
        </w:tc>
        <w:tc>
          <w:tcPr>
            <w:tcW w:w="851" w:type="dxa"/>
            <w:tcBorders>
              <w:top w:val="single" w:sz="4" w:space="0" w:color="auto"/>
              <w:left w:val="single" w:sz="4" w:space="0" w:color="auto"/>
              <w:bottom w:val="single" w:sz="4" w:space="0" w:color="000000"/>
              <w:right w:val="single" w:sz="4" w:space="0" w:color="auto"/>
            </w:tcBorders>
          </w:tcPr>
          <w:p w:rsidR="00A418C0" w:rsidRPr="000F6130" w:rsidRDefault="00A418C0" w:rsidP="000F6130">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Гос</w:t>
            </w:r>
          </w:p>
        </w:tc>
        <w:tc>
          <w:tcPr>
            <w:tcW w:w="850" w:type="dxa"/>
            <w:tcBorders>
              <w:top w:val="single" w:sz="4" w:space="0" w:color="auto"/>
              <w:left w:val="single" w:sz="4" w:space="0" w:color="auto"/>
              <w:bottom w:val="single" w:sz="4" w:space="0" w:color="000000"/>
              <w:right w:val="single" w:sz="4" w:space="0" w:color="auto"/>
            </w:tcBorders>
          </w:tcPr>
          <w:p w:rsidR="00A418C0" w:rsidRPr="000F6130" w:rsidRDefault="00A418C0" w:rsidP="000F6130">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Част</w:t>
            </w:r>
          </w:p>
        </w:tc>
      </w:tr>
      <w:tr w:rsidR="00A13D7D" w:rsidRPr="000F6130" w:rsidTr="000D4D1D">
        <w:trPr>
          <w:trHeight w:val="333"/>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S01 Аппендэктомия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12 768</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12 691</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12 921</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99%</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12%</w:t>
            </w:r>
          </w:p>
        </w:tc>
      </w:tr>
      <w:tr w:rsidR="00A13D7D" w:rsidRPr="000F6130" w:rsidTr="000D4D1D">
        <w:trPr>
          <w:trHeight w:val="396"/>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S02 Кесарево сечение</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18 338</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18 331</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18 352</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88%</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1%</w:t>
            </w:r>
          </w:p>
        </w:tc>
      </w:tr>
      <w:tr w:rsidR="00A13D7D" w:rsidRPr="000F6130" w:rsidTr="000D4D1D">
        <w:trPr>
          <w:trHeight w:val="287"/>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3</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S03 Холецистэктомия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15 154</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15 043</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15 374</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88%</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12%</w:t>
            </w:r>
          </w:p>
        </w:tc>
      </w:tr>
      <w:tr w:rsidR="00A13D7D" w:rsidRPr="000F6130" w:rsidTr="000D4D1D">
        <w:trPr>
          <w:trHeight w:val="561"/>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4</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S04 Колоректальная резекция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9 265</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15 043</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786</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93%</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12%</w:t>
            </w:r>
          </w:p>
        </w:tc>
      </w:tr>
      <w:tr w:rsidR="00A13D7D" w:rsidRPr="000F6130" w:rsidTr="000D4D1D">
        <w:trPr>
          <w:trHeight w:val="683"/>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5</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S05 Шунтирование коронарной артерии</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80 541</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106 070</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29 482</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95%</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7%</w:t>
            </w:r>
          </w:p>
        </w:tc>
      </w:tr>
      <w:tr w:rsidR="00A13D7D" w:rsidRPr="000F6130" w:rsidTr="000D4D1D">
        <w:trPr>
          <w:trHeight w:val="423"/>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6</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S06 Диссектомия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20 223</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20 164</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20 340</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78%</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5%</w:t>
            </w:r>
          </w:p>
        </w:tc>
      </w:tr>
      <w:tr w:rsidR="00A13D7D" w:rsidRPr="000F6130" w:rsidTr="000D4D1D">
        <w:trPr>
          <w:trHeight w:val="415"/>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7</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S07 Эндартерэктомия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36 099</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49 568</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9 162</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98%</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22%</w:t>
            </w:r>
          </w:p>
        </w:tc>
      </w:tr>
      <w:tr w:rsidR="00A13D7D" w:rsidRPr="000F6130" w:rsidTr="000D4D1D">
        <w:trPr>
          <w:trHeight w:val="1124"/>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8</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S08 Замена тазобедренного сустава: общая и частичная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77 044</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77 070</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76 992</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65%</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2%</w:t>
            </w:r>
          </w:p>
        </w:tc>
      </w:tr>
      <w:tr w:rsidR="00A13D7D" w:rsidRPr="000F6130" w:rsidTr="000D4D1D">
        <w:trPr>
          <w:trHeight w:val="840"/>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9</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S09Гистерэктомия: брюшная или вагинальная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60 285</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41 539</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97 778</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84%</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35%</w:t>
            </w:r>
          </w:p>
        </w:tc>
      </w:tr>
      <w:tr w:rsidR="00A13D7D" w:rsidRPr="000F6130" w:rsidTr="000D4D1D">
        <w:trPr>
          <w:trHeight w:val="556"/>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10</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S10 Замена коленного сустава</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87 684</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87 709</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87 634</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80%</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16%</w:t>
            </w:r>
          </w:p>
        </w:tc>
      </w:tr>
      <w:tr w:rsidR="00A13D7D" w:rsidRPr="000F6130" w:rsidTr="000D4D1D">
        <w:trPr>
          <w:trHeight w:val="436"/>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11</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S11 Мастэктомия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11 635</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14 492</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5 921</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73%</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20%</w:t>
            </w:r>
          </w:p>
        </w:tc>
      </w:tr>
      <w:tr w:rsidR="00A13D7D" w:rsidRPr="000F6130" w:rsidTr="000D4D1D">
        <w:trPr>
          <w:trHeight w:val="556"/>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S12 Открытая простатэктомия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8 762</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10 682</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4 922</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78%</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27%</w:t>
            </w:r>
          </w:p>
        </w:tc>
      </w:tr>
      <w:tr w:rsidR="00A13D7D" w:rsidRPr="000F6130" w:rsidTr="000D4D1D">
        <w:trPr>
          <w:trHeight w:val="1130"/>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13</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S13Чрескожная транслюминальная коронарная ангиопластика</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98 824</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98 529</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99 415</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83%</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22%</w:t>
            </w:r>
          </w:p>
        </w:tc>
      </w:tr>
      <w:tr w:rsidR="00A13D7D" w:rsidRPr="000F6130" w:rsidTr="000D4D1D">
        <w:trPr>
          <w:trHeight w:val="551"/>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15</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S15 Ремонт паховой грыжи</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13 005</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13 401</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12 213</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50%</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17%</w:t>
            </w:r>
          </w:p>
        </w:tc>
      </w:tr>
      <w:tr w:rsidR="00A13D7D" w:rsidRPr="000F6130" w:rsidTr="000D4D1D">
        <w:trPr>
          <w:trHeight w:val="559"/>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16</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S16 Тиреоидэктомия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15 551</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16 562</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13 529</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73%</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50%</w:t>
            </w:r>
          </w:p>
        </w:tc>
      </w:tr>
      <w:tr w:rsidR="00A13D7D" w:rsidRPr="000F6130" w:rsidTr="000D4D1D">
        <w:trPr>
          <w:trHeight w:val="964"/>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17</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S17Трансуретральная резекция предстательной железы</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18 830</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18 842</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18 806</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84%</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27%</w:t>
            </w:r>
          </w:p>
        </w:tc>
      </w:tr>
      <w:tr w:rsidR="00A13D7D" w:rsidRPr="000F6130" w:rsidTr="000D4D1D">
        <w:trPr>
          <w:trHeight w:val="851"/>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S18 Артроскопическое удаление мениска колена</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17 793</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18 842</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18 806</w:t>
            </w:r>
          </w:p>
        </w:tc>
        <w:tc>
          <w:tcPr>
            <w:tcW w:w="851" w:type="dxa"/>
            <w:tcBorders>
              <w:top w:val="nil"/>
              <w:left w:val="nil"/>
              <w:bottom w:val="single" w:sz="4" w:space="0" w:color="auto"/>
              <w:right w:val="single" w:sz="4" w:space="0" w:color="auto"/>
            </w:tcBorders>
            <w:vAlign w:val="center"/>
          </w:tcPr>
          <w:p w:rsidR="00A13D7D" w:rsidRPr="00A418C0" w:rsidRDefault="000D4D1D" w:rsidP="000D4D1D">
            <w:pPr>
              <w:jc w:val="center"/>
              <w:rPr>
                <w:rFonts w:ascii="Times New Roman" w:hAnsi="Times New Roman" w:cs="Times New Roman"/>
                <w:color w:val="000000"/>
                <w:sz w:val="20"/>
                <w:szCs w:val="20"/>
              </w:rPr>
            </w:pPr>
            <w:r>
              <w:rPr>
                <w:rFonts w:ascii="Times New Roman" w:hAnsi="Times New Roman" w:cs="Times New Roman"/>
                <w:color w:val="000000"/>
                <w:sz w:val="20"/>
                <w:szCs w:val="20"/>
              </w:rPr>
              <w:t>84%</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16%</w:t>
            </w:r>
          </w:p>
        </w:tc>
      </w:tr>
      <w:tr w:rsidR="00A13D7D" w:rsidRPr="000F6130" w:rsidTr="000D4D1D">
        <w:trPr>
          <w:trHeight w:val="693"/>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19</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S19 Процедуры линз и катаракты</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22 829</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34 243</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0</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60%</w:t>
            </w:r>
          </w:p>
        </w:tc>
        <w:tc>
          <w:tcPr>
            <w:tcW w:w="850" w:type="dxa"/>
            <w:tcBorders>
              <w:top w:val="nil"/>
              <w:left w:val="nil"/>
              <w:bottom w:val="single" w:sz="4" w:space="0" w:color="auto"/>
              <w:right w:val="single" w:sz="4" w:space="0" w:color="auto"/>
            </w:tcBorders>
            <w:vAlign w:val="center"/>
          </w:tcPr>
          <w:p w:rsidR="00A13D7D" w:rsidRPr="00A13D7D" w:rsidRDefault="000D4D1D" w:rsidP="000D4D1D">
            <w:pPr>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40%</w:t>
            </w:r>
          </w:p>
        </w:tc>
      </w:tr>
      <w:tr w:rsidR="00A13D7D" w:rsidRPr="000F6130" w:rsidTr="000D4D1D">
        <w:trPr>
          <w:trHeight w:val="1114"/>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lastRenderedPageBreak/>
              <w:t>20</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S20 Лигирование и зачистка варикозных вен - нижняя конечность</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16 486</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20 873</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7 712</w:t>
            </w:r>
          </w:p>
        </w:tc>
        <w:tc>
          <w:tcPr>
            <w:tcW w:w="851" w:type="dxa"/>
            <w:tcBorders>
              <w:top w:val="nil"/>
              <w:left w:val="nil"/>
              <w:bottom w:val="single" w:sz="4" w:space="0" w:color="auto"/>
              <w:right w:val="single" w:sz="4" w:space="0" w:color="auto"/>
            </w:tcBorders>
            <w:vAlign w:val="center"/>
          </w:tcPr>
          <w:p w:rsidR="00A13D7D" w:rsidRPr="00A418C0" w:rsidRDefault="00A13D7D" w:rsidP="000D4D1D">
            <w:pPr>
              <w:jc w:val="center"/>
              <w:rPr>
                <w:rFonts w:ascii="Times New Roman" w:hAnsi="Times New Roman" w:cs="Times New Roman"/>
                <w:bCs/>
                <w:color w:val="000000"/>
                <w:sz w:val="20"/>
                <w:szCs w:val="20"/>
              </w:rPr>
            </w:pPr>
            <w:r w:rsidRPr="00A418C0">
              <w:rPr>
                <w:rFonts w:ascii="Times New Roman" w:hAnsi="Times New Roman" w:cs="Times New Roman"/>
                <w:bCs/>
                <w:color w:val="000000"/>
                <w:sz w:val="20"/>
                <w:szCs w:val="20"/>
              </w:rPr>
              <w:t>56%</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40%</w:t>
            </w:r>
          </w:p>
        </w:tc>
      </w:tr>
      <w:tr w:rsidR="00A13D7D" w:rsidRPr="000F6130" w:rsidTr="000D4D1D">
        <w:trPr>
          <w:trHeight w:val="563"/>
        </w:trPr>
        <w:tc>
          <w:tcPr>
            <w:tcW w:w="500" w:type="dxa"/>
            <w:tcBorders>
              <w:top w:val="nil"/>
              <w:left w:val="single" w:sz="4" w:space="0" w:color="auto"/>
              <w:bottom w:val="single" w:sz="4" w:space="0" w:color="auto"/>
              <w:right w:val="single" w:sz="4" w:space="0" w:color="auto"/>
            </w:tcBorders>
            <w:shd w:val="clear" w:color="auto" w:fill="auto"/>
            <w:noWrap/>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21</w:t>
            </w:r>
          </w:p>
        </w:tc>
        <w:tc>
          <w:tcPr>
            <w:tcW w:w="2265" w:type="dxa"/>
            <w:tcBorders>
              <w:top w:val="nil"/>
              <w:left w:val="nil"/>
              <w:bottom w:val="single" w:sz="4" w:space="0" w:color="auto"/>
              <w:right w:val="single" w:sz="4" w:space="0" w:color="auto"/>
            </w:tcBorders>
            <w:shd w:val="clear" w:color="auto" w:fill="auto"/>
            <w:hideMark/>
          </w:tcPr>
          <w:p w:rsidR="00A13D7D" w:rsidRPr="000F6130" w:rsidRDefault="00A13D7D" w:rsidP="000F6130">
            <w:pPr>
              <w:spacing w:after="0" w:line="240" w:lineRule="auto"/>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S21 Тонзилэктомия и / или аденоидэктомия</w:t>
            </w:r>
          </w:p>
        </w:tc>
        <w:tc>
          <w:tcPr>
            <w:tcW w:w="150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12 337</w:t>
            </w:r>
          </w:p>
        </w:tc>
        <w:tc>
          <w:tcPr>
            <w:tcW w:w="1843"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12 273</w:t>
            </w:r>
          </w:p>
        </w:tc>
        <w:tc>
          <w:tcPr>
            <w:tcW w:w="1275" w:type="dxa"/>
            <w:tcBorders>
              <w:top w:val="nil"/>
              <w:left w:val="nil"/>
              <w:bottom w:val="single" w:sz="4" w:space="0" w:color="auto"/>
              <w:right w:val="single" w:sz="4" w:space="0" w:color="auto"/>
            </w:tcBorders>
            <w:shd w:val="clear" w:color="auto" w:fill="auto"/>
            <w:noWrap/>
            <w:vAlign w:val="center"/>
            <w:hideMark/>
          </w:tcPr>
          <w:p w:rsidR="00A13D7D" w:rsidRPr="000F6130" w:rsidRDefault="00A13D7D" w:rsidP="000D4D1D">
            <w:pPr>
              <w:spacing w:after="0" w:line="240" w:lineRule="auto"/>
              <w:jc w:val="center"/>
              <w:rPr>
                <w:rFonts w:ascii="Times New Roman" w:eastAsia="Times New Roman" w:hAnsi="Times New Roman" w:cs="Times New Roman"/>
                <w:color w:val="000000"/>
                <w:sz w:val="20"/>
                <w:szCs w:val="20"/>
                <w:lang w:eastAsia="ru-RU"/>
              </w:rPr>
            </w:pPr>
            <w:r w:rsidRPr="000F6130">
              <w:rPr>
                <w:rFonts w:ascii="Times New Roman" w:eastAsia="Times New Roman" w:hAnsi="Times New Roman" w:cs="Times New Roman"/>
                <w:color w:val="000000"/>
                <w:sz w:val="20"/>
                <w:szCs w:val="20"/>
                <w:lang w:eastAsia="ru-RU"/>
              </w:rPr>
              <w:t>12 465</w:t>
            </w:r>
          </w:p>
        </w:tc>
        <w:tc>
          <w:tcPr>
            <w:tcW w:w="851" w:type="dxa"/>
            <w:tcBorders>
              <w:top w:val="nil"/>
              <w:left w:val="nil"/>
              <w:bottom w:val="single" w:sz="4" w:space="0" w:color="auto"/>
              <w:right w:val="single" w:sz="4" w:space="0" w:color="auto"/>
            </w:tcBorders>
            <w:vAlign w:val="center"/>
          </w:tcPr>
          <w:p w:rsidR="00A13D7D" w:rsidRPr="00A418C0" w:rsidRDefault="000D4D1D" w:rsidP="000D4D1D">
            <w:pPr>
              <w:jc w:val="center"/>
              <w:rPr>
                <w:rFonts w:ascii="Times New Roman" w:hAnsi="Times New Roman" w:cs="Times New Roman"/>
                <w:color w:val="000000"/>
                <w:sz w:val="20"/>
                <w:szCs w:val="20"/>
              </w:rPr>
            </w:pPr>
            <w:r>
              <w:rPr>
                <w:rFonts w:ascii="Times New Roman" w:hAnsi="Times New Roman" w:cs="Times New Roman"/>
                <w:color w:val="000000"/>
                <w:sz w:val="20"/>
                <w:szCs w:val="20"/>
              </w:rPr>
              <w:t>56%</w:t>
            </w:r>
          </w:p>
        </w:tc>
        <w:tc>
          <w:tcPr>
            <w:tcW w:w="850" w:type="dxa"/>
            <w:tcBorders>
              <w:top w:val="nil"/>
              <w:left w:val="nil"/>
              <w:bottom w:val="single" w:sz="4" w:space="0" w:color="auto"/>
              <w:right w:val="single" w:sz="4" w:space="0" w:color="auto"/>
            </w:tcBorders>
            <w:vAlign w:val="center"/>
          </w:tcPr>
          <w:p w:rsidR="00A13D7D" w:rsidRPr="00A13D7D" w:rsidRDefault="00A13D7D" w:rsidP="000D4D1D">
            <w:pPr>
              <w:jc w:val="center"/>
              <w:rPr>
                <w:rFonts w:ascii="Times New Roman" w:hAnsi="Times New Roman" w:cs="Times New Roman"/>
                <w:bCs/>
                <w:color w:val="000000"/>
                <w:sz w:val="20"/>
                <w:szCs w:val="20"/>
              </w:rPr>
            </w:pPr>
            <w:r w:rsidRPr="00A13D7D">
              <w:rPr>
                <w:rFonts w:ascii="Times New Roman" w:hAnsi="Times New Roman" w:cs="Times New Roman"/>
                <w:bCs/>
                <w:color w:val="000000"/>
                <w:sz w:val="20"/>
                <w:szCs w:val="20"/>
              </w:rPr>
              <w:t>44%</w:t>
            </w:r>
          </w:p>
        </w:tc>
      </w:tr>
    </w:tbl>
    <w:p w:rsidR="000F6130" w:rsidRDefault="003E3010" w:rsidP="003E301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Как и в случае с нехирургическими типами заболеваний был проведен с</w:t>
      </w:r>
      <w:r w:rsidRPr="003E3010">
        <w:rPr>
          <w:rFonts w:ascii="Times New Roman" w:hAnsi="Times New Roman" w:cs="Times New Roman"/>
          <w:bCs/>
          <w:sz w:val="28"/>
          <w:szCs w:val="28"/>
        </w:rPr>
        <w:t>равнительный анализ расходов на хирургические случаи по поставщикам медицинских услуг</w:t>
      </w:r>
      <w:r w:rsidR="00170D63">
        <w:rPr>
          <w:rFonts w:ascii="Times New Roman" w:hAnsi="Times New Roman" w:cs="Times New Roman"/>
          <w:bCs/>
          <w:sz w:val="28"/>
          <w:szCs w:val="28"/>
        </w:rPr>
        <w:t>. По хирургическим типам случаев доля государственного сектора составляет в среднем 79%, частного – 21%. При этом наибольший удельный вес по частному сектору отведен «</w:t>
      </w:r>
      <w:r w:rsidR="00170D63" w:rsidRPr="00170D63">
        <w:rPr>
          <w:rFonts w:ascii="Times New Roman" w:hAnsi="Times New Roman" w:cs="Times New Roman"/>
          <w:bCs/>
          <w:sz w:val="28"/>
          <w:szCs w:val="28"/>
        </w:rPr>
        <w:t>S16 Тиреоидэктомия</w:t>
      </w:r>
      <w:r w:rsidR="00170D63">
        <w:rPr>
          <w:rFonts w:ascii="Times New Roman" w:hAnsi="Times New Roman" w:cs="Times New Roman"/>
          <w:bCs/>
          <w:sz w:val="28"/>
          <w:szCs w:val="28"/>
        </w:rPr>
        <w:t>» - 50% услуг при стоимости на 2 000 тенге ниже, чем в государственном секторе (</w:t>
      </w:r>
      <w:r w:rsidR="00170D63" w:rsidRPr="00170D63">
        <w:rPr>
          <w:rFonts w:ascii="Times New Roman" w:hAnsi="Times New Roman" w:cs="Times New Roman"/>
          <w:bCs/>
          <w:sz w:val="28"/>
          <w:szCs w:val="28"/>
        </w:rPr>
        <w:t>13</w:t>
      </w:r>
      <w:r w:rsidR="00170D63">
        <w:rPr>
          <w:rFonts w:ascii="Times New Roman" w:hAnsi="Times New Roman" w:cs="Times New Roman"/>
          <w:bCs/>
          <w:sz w:val="28"/>
          <w:szCs w:val="28"/>
        </w:rPr>
        <w:t> </w:t>
      </w:r>
      <w:r w:rsidR="00170D63" w:rsidRPr="00170D63">
        <w:rPr>
          <w:rFonts w:ascii="Times New Roman" w:hAnsi="Times New Roman" w:cs="Times New Roman"/>
          <w:bCs/>
          <w:sz w:val="28"/>
          <w:szCs w:val="28"/>
        </w:rPr>
        <w:t>529</w:t>
      </w:r>
      <w:r w:rsidR="00170D63">
        <w:rPr>
          <w:rFonts w:ascii="Times New Roman" w:hAnsi="Times New Roman" w:cs="Times New Roman"/>
          <w:bCs/>
          <w:sz w:val="28"/>
          <w:szCs w:val="28"/>
        </w:rPr>
        <w:t xml:space="preserve"> тенге). Далее идут «</w:t>
      </w:r>
      <w:r w:rsidR="00CD213D" w:rsidRPr="00CD213D">
        <w:rPr>
          <w:rFonts w:ascii="Times New Roman" w:hAnsi="Times New Roman" w:cs="Times New Roman"/>
          <w:bCs/>
          <w:sz w:val="28"/>
          <w:szCs w:val="28"/>
        </w:rPr>
        <w:t>S21 Тонзилэктомия и / или аденоидэктомия</w:t>
      </w:r>
      <w:r w:rsidR="00170D63">
        <w:rPr>
          <w:rFonts w:ascii="Times New Roman" w:hAnsi="Times New Roman" w:cs="Times New Roman"/>
          <w:bCs/>
          <w:sz w:val="28"/>
          <w:szCs w:val="28"/>
        </w:rPr>
        <w:t>» и «</w:t>
      </w:r>
      <w:r w:rsidR="00CD213D" w:rsidRPr="00CD213D">
        <w:rPr>
          <w:rFonts w:ascii="Times New Roman" w:hAnsi="Times New Roman" w:cs="Times New Roman"/>
          <w:bCs/>
          <w:sz w:val="28"/>
          <w:szCs w:val="28"/>
        </w:rPr>
        <w:t>S20 Лигирование и зачистка варикозных вен - нижняя конечность</w:t>
      </w:r>
      <w:r w:rsidR="00170D63">
        <w:rPr>
          <w:rFonts w:ascii="Times New Roman" w:hAnsi="Times New Roman" w:cs="Times New Roman"/>
          <w:bCs/>
          <w:sz w:val="28"/>
          <w:szCs w:val="28"/>
        </w:rPr>
        <w:t>» по 44% и 40% соответственно.</w:t>
      </w:r>
      <w:r w:rsidR="00CD213D">
        <w:rPr>
          <w:rFonts w:ascii="Times New Roman" w:hAnsi="Times New Roman" w:cs="Times New Roman"/>
          <w:bCs/>
          <w:sz w:val="28"/>
          <w:szCs w:val="28"/>
        </w:rPr>
        <w:t xml:space="preserve"> Замыкает пятерку лидеров «</w:t>
      </w:r>
      <w:r w:rsidR="00CD213D" w:rsidRPr="00CD213D">
        <w:rPr>
          <w:rFonts w:ascii="Times New Roman" w:hAnsi="Times New Roman" w:cs="Times New Roman"/>
          <w:bCs/>
          <w:sz w:val="28"/>
          <w:szCs w:val="28"/>
        </w:rPr>
        <w:t>S09Гистерэктомия: брюшная или вагинальная</w:t>
      </w:r>
      <w:r w:rsidR="00CD213D">
        <w:rPr>
          <w:rFonts w:ascii="Times New Roman" w:hAnsi="Times New Roman" w:cs="Times New Roman"/>
          <w:bCs/>
          <w:sz w:val="28"/>
          <w:szCs w:val="28"/>
        </w:rPr>
        <w:t>» с 35% и стоимостью  97 778 тенге в частном секторе.</w:t>
      </w:r>
    </w:p>
    <w:p w:rsidR="00CD213D" w:rsidRDefault="00CD213D" w:rsidP="003E301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Отмечаем, что наименьшую долю по частному сектору составляют кесарево сечение – 1%, замена тазобедренного сустава – 2%, диссектомия – 5% и шунтирование коронарной артерии – 7%, при том, что для последнего стоимость пролеченного случая гораздо ниже, чем в госсекторе и составляет 29 482 тенге. По первым трём типам заболеваний стоимость в государственном и частном секторам практически идентична.</w:t>
      </w:r>
    </w:p>
    <w:p w:rsidR="00A951C0" w:rsidRDefault="00A951C0" w:rsidP="003E301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Далее, рассмотрим оценку стоимости пролеченного случая по каждому типу заболевания в соответствии с паритетом покупательной способности для оценки реальных расходов населения на выбранные типы случаев.</w:t>
      </w:r>
    </w:p>
    <w:p w:rsidR="003E3010" w:rsidRDefault="003E3010" w:rsidP="003E3010">
      <w:pPr>
        <w:spacing w:after="0" w:line="240" w:lineRule="auto"/>
        <w:ind w:firstLine="709"/>
        <w:jc w:val="both"/>
        <w:rPr>
          <w:rFonts w:ascii="Times New Roman" w:hAnsi="Times New Roman" w:cs="Times New Roman"/>
          <w:bCs/>
          <w:sz w:val="28"/>
          <w:szCs w:val="28"/>
        </w:rPr>
      </w:pPr>
    </w:p>
    <w:p w:rsidR="005647FE" w:rsidRPr="00A951C0" w:rsidRDefault="00FF6CEF" w:rsidP="00A951C0">
      <w:pPr>
        <w:spacing w:after="0" w:line="240" w:lineRule="auto"/>
        <w:ind w:firstLine="709"/>
        <w:jc w:val="both"/>
        <w:rPr>
          <w:rFonts w:ascii="Times New Roman" w:hAnsi="Times New Roman" w:cs="Times New Roman"/>
          <w:bCs/>
          <w:sz w:val="28"/>
          <w:szCs w:val="28"/>
        </w:rPr>
      </w:pPr>
      <w:r w:rsidRPr="005867BD">
        <w:rPr>
          <w:rFonts w:ascii="Times New Roman" w:hAnsi="Times New Roman" w:cs="Times New Roman"/>
          <w:b/>
          <w:bCs/>
          <w:sz w:val="28"/>
          <w:szCs w:val="28"/>
        </w:rPr>
        <w:t xml:space="preserve">2.3 </w:t>
      </w:r>
      <w:r w:rsidR="00B158C5">
        <w:rPr>
          <w:rFonts w:ascii="Times New Roman" w:hAnsi="Times New Roman" w:cs="Times New Roman"/>
          <w:b/>
          <w:bCs/>
          <w:sz w:val="28"/>
          <w:szCs w:val="28"/>
        </w:rPr>
        <w:t xml:space="preserve"> </w:t>
      </w:r>
      <w:r w:rsidRPr="005867BD">
        <w:rPr>
          <w:rFonts w:ascii="Times New Roman" w:hAnsi="Times New Roman" w:cs="Times New Roman"/>
          <w:b/>
          <w:bCs/>
          <w:sz w:val="28"/>
          <w:szCs w:val="28"/>
        </w:rPr>
        <w:t>Сравнительный анали</w:t>
      </w:r>
      <w:r w:rsidR="00BF580D">
        <w:rPr>
          <w:rFonts w:ascii="Times New Roman" w:hAnsi="Times New Roman" w:cs="Times New Roman"/>
          <w:b/>
          <w:bCs/>
          <w:sz w:val="28"/>
          <w:szCs w:val="28"/>
        </w:rPr>
        <w:t xml:space="preserve">з расходов на здравоохранение с </w:t>
      </w:r>
      <w:r w:rsidRPr="005867BD">
        <w:rPr>
          <w:rFonts w:ascii="Times New Roman" w:hAnsi="Times New Roman" w:cs="Times New Roman"/>
          <w:b/>
          <w:bCs/>
          <w:sz w:val="28"/>
          <w:szCs w:val="28"/>
        </w:rPr>
        <w:t>применением паритетов покупательной способности</w:t>
      </w:r>
    </w:p>
    <w:p w:rsidR="005647FE" w:rsidRDefault="005647FE" w:rsidP="0073360E">
      <w:pPr>
        <w:autoSpaceDE w:val="0"/>
        <w:autoSpaceDN w:val="0"/>
        <w:adjustRightInd w:val="0"/>
        <w:spacing w:after="0" w:line="240" w:lineRule="auto"/>
        <w:ind w:firstLine="709"/>
        <w:rPr>
          <w:rFonts w:ascii="Times New Roman" w:hAnsi="Times New Roman" w:cs="Times New Roman"/>
          <w:color w:val="000000" w:themeColor="text1"/>
          <w:sz w:val="28"/>
          <w:szCs w:val="28"/>
        </w:rPr>
      </w:pPr>
    </w:p>
    <w:p w:rsidR="00A06279" w:rsidRDefault="00A06279" w:rsidP="000A07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Сравнительный межстрановой анализ расходов на здравоохранение, представленных в виде стоимости одного пролеченного случая, в рамках данного исследования проведен с применением паритетов покупательной способности. Теоретические основы понятия «паритет»</w:t>
      </w:r>
      <w:r w:rsidR="008B5147">
        <w:rPr>
          <w:rFonts w:ascii="Times New Roman" w:hAnsi="Times New Roman" w:cs="Times New Roman"/>
          <w:color w:val="000000" w:themeColor="text1"/>
          <w:sz w:val="28"/>
          <w:szCs w:val="28"/>
        </w:rPr>
        <w:t xml:space="preserve"> </w:t>
      </w:r>
      <w:r w:rsidR="000A0765">
        <w:rPr>
          <w:rFonts w:ascii="Times New Roman" w:hAnsi="Times New Roman" w:cs="Times New Roman"/>
          <w:color w:val="000000" w:themeColor="text1"/>
          <w:sz w:val="28"/>
          <w:szCs w:val="28"/>
        </w:rPr>
        <w:t>отражены в главе 1.</w:t>
      </w:r>
      <w:r w:rsidR="00602FE9">
        <w:rPr>
          <w:rFonts w:ascii="Times New Roman" w:hAnsi="Times New Roman" w:cs="Times New Roman"/>
          <w:color w:val="000000" w:themeColor="text1"/>
          <w:sz w:val="28"/>
          <w:szCs w:val="28"/>
        </w:rPr>
        <w:t xml:space="preserve"> Детализированный </w:t>
      </w:r>
      <w:r w:rsidR="00A25911">
        <w:rPr>
          <w:rFonts w:ascii="Times New Roman" w:hAnsi="Times New Roman" w:cs="Times New Roman"/>
          <w:color w:val="000000" w:themeColor="text1"/>
          <w:sz w:val="28"/>
          <w:szCs w:val="28"/>
        </w:rPr>
        <w:t>анализ представлен приложением 3</w:t>
      </w:r>
      <w:r w:rsidR="00602FE9">
        <w:rPr>
          <w:rFonts w:ascii="Times New Roman" w:hAnsi="Times New Roman" w:cs="Times New Roman"/>
          <w:color w:val="000000" w:themeColor="text1"/>
          <w:sz w:val="28"/>
          <w:szCs w:val="28"/>
        </w:rPr>
        <w:t xml:space="preserve"> к данному отчету.</w:t>
      </w:r>
    </w:p>
    <w:p w:rsidR="000A0765" w:rsidRDefault="00A12C9C" w:rsidP="000A07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Как и в предыдущем параграфе, в качестве базы для межстранового сравнения были приняты средние цены  для стран ОЭСР (20 стран с близким и опережающим уровнем развития относительно Казахстана) по сформированной выборке заболеваний, согласно методологии Евростат и ОЭСР. </w:t>
      </w:r>
    </w:p>
    <w:p w:rsidR="00A12C9C" w:rsidRDefault="00A12C9C" w:rsidP="000A07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Следует отметить, что среднедушевой уровень доходов по ППС по выбранным странам ОЭСР составляет примерно 43 тыс. долларов США, для Казахстана – 26 250 долларов США, что в 1,7 раза меньше, по сравнению со странами ОЭСР. Соответственно, </w:t>
      </w:r>
      <w:r w:rsidRPr="007227BD">
        <w:rPr>
          <w:rFonts w:ascii="Times New Roman" w:hAnsi="Times New Roman" w:cs="Times New Roman"/>
          <w:b/>
          <w:color w:val="000000" w:themeColor="text1"/>
          <w:sz w:val="28"/>
          <w:szCs w:val="28"/>
        </w:rPr>
        <w:t xml:space="preserve">аналогичные статьи расходов, выраженные в ППС будут кардинальным образом различаться в </w:t>
      </w:r>
      <w:r w:rsidRPr="007227BD">
        <w:rPr>
          <w:rFonts w:ascii="Times New Roman" w:hAnsi="Times New Roman" w:cs="Times New Roman"/>
          <w:b/>
          <w:color w:val="000000" w:themeColor="text1"/>
          <w:sz w:val="28"/>
          <w:szCs w:val="28"/>
        </w:rPr>
        <w:lastRenderedPageBreak/>
        <w:t>оказываемом влиянии на благосостояние населения и величине его частных расходов.</w:t>
      </w:r>
    </w:p>
    <w:p w:rsidR="00A12C9C" w:rsidRDefault="007227BD" w:rsidP="000A07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Алгоритм </w:t>
      </w:r>
      <w:r w:rsidR="00AC7476">
        <w:rPr>
          <w:rFonts w:ascii="Times New Roman" w:hAnsi="Times New Roman" w:cs="Times New Roman"/>
          <w:color w:val="000000" w:themeColor="text1"/>
          <w:sz w:val="28"/>
          <w:szCs w:val="28"/>
        </w:rPr>
        <w:t xml:space="preserve">применения ППС для </w:t>
      </w:r>
      <w:r>
        <w:rPr>
          <w:rFonts w:ascii="Times New Roman" w:hAnsi="Times New Roman" w:cs="Times New Roman"/>
          <w:color w:val="000000" w:themeColor="text1"/>
          <w:sz w:val="28"/>
          <w:szCs w:val="28"/>
        </w:rPr>
        <w:t>сравнительного анализа выглядит следующим образом</w:t>
      </w:r>
      <w:r w:rsidR="00A25911">
        <w:rPr>
          <w:rFonts w:ascii="Times New Roman" w:hAnsi="Times New Roman" w:cs="Times New Roman"/>
          <w:color w:val="000000" w:themeColor="text1"/>
          <w:sz w:val="28"/>
          <w:szCs w:val="28"/>
        </w:rPr>
        <w:t>:</w:t>
      </w:r>
    </w:p>
    <w:p w:rsidR="007227BD" w:rsidRDefault="00BC1B9C" w:rsidP="007227BD">
      <w:pPr>
        <w:pStyle w:val="a9"/>
        <w:numPr>
          <w:ilvl w:val="0"/>
          <w:numId w:val="2"/>
        </w:num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Были рассчитаны методом средне взвешенной цены стоимости  пролеченных случаев по ОЭСР и Казахстану в национальных валютах. Для ОЭСР в качестве национальной валюты был выбран евро. Данные взяты оценочно на 2017 год.</w:t>
      </w:r>
    </w:p>
    <w:p w:rsidR="00BC1B9C" w:rsidRDefault="00AC7476" w:rsidP="007227BD">
      <w:pPr>
        <w:pStyle w:val="a9"/>
        <w:numPr>
          <w:ilvl w:val="0"/>
          <w:numId w:val="2"/>
        </w:num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Далее проведены расчеты индексов Л</w:t>
      </w:r>
      <w:r w:rsidR="00CA6C34">
        <w:rPr>
          <w:rFonts w:ascii="Times New Roman" w:hAnsi="Times New Roman" w:cs="Times New Roman"/>
          <w:color w:val="000000" w:themeColor="text1"/>
          <w:sz w:val="28"/>
          <w:szCs w:val="28"/>
        </w:rPr>
        <w:t>аспейра</w:t>
      </w:r>
      <w:r>
        <w:rPr>
          <w:rFonts w:ascii="Times New Roman" w:hAnsi="Times New Roman" w:cs="Times New Roman"/>
          <w:color w:val="000000" w:themeColor="text1"/>
          <w:sz w:val="28"/>
          <w:szCs w:val="28"/>
        </w:rPr>
        <w:t xml:space="preserve">са, Пааше и Фишера для нивелирования валютных колебаний и отражения реальной сопоставимой стоимости случая в условиях покупательной </w:t>
      </w:r>
      <w:r w:rsidRPr="00AC7476">
        <w:rPr>
          <w:rFonts w:ascii="Times New Roman" w:hAnsi="Times New Roman" w:cs="Times New Roman"/>
          <w:color w:val="000000" w:themeColor="text1"/>
          <w:sz w:val="28"/>
          <w:szCs w:val="28"/>
        </w:rPr>
        <w:t>способности</w:t>
      </w:r>
      <w:r>
        <w:rPr>
          <w:rFonts w:ascii="Times New Roman" w:hAnsi="Times New Roman" w:cs="Times New Roman"/>
          <w:color w:val="000000" w:themeColor="text1"/>
          <w:sz w:val="28"/>
          <w:szCs w:val="28"/>
        </w:rPr>
        <w:t xml:space="preserve"> мес</w:t>
      </w:r>
      <w:r w:rsidR="00A40099">
        <w:rPr>
          <w:rFonts w:ascii="Times New Roman" w:hAnsi="Times New Roman" w:cs="Times New Roman"/>
          <w:color w:val="000000" w:themeColor="text1"/>
          <w:sz w:val="28"/>
          <w:szCs w:val="28"/>
        </w:rPr>
        <w:t>тной валюты (тенге).</w:t>
      </w:r>
    </w:p>
    <w:p w:rsidR="00AC7476" w:rsidRDefault="00AC7476" w:rsidP="00AC7476">
      <w:pPr>
        <w:pStyle w:val="a9"/>
        <w:numPr>
          <w:ilvl w:val="0"/>
          <w:numId w:val="2"/>
        </w:num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Сформированы </w:t>
      </w:r>
      <w:r w:rsidR="007772CC">
        <w:rPr>
          <w:rFonts w:ascii="Times New Roman" w:hAnsi="Times New Roman" w:cs="Times New Roman"/>
          <w:b/>
          <w:color w:val="000000" w:themeColor="text1"/>
          <w:sz w:val="28"/>
          <w:szCs w:val="28"/>
        </w:rPr>
        <w:t>EKS-</w:t>
      </w:r>
      <w:r w:rsidRPr="00AC7476">
        <w:rPr>
          <w:rFonts w:ascii="Times New Roman" w:hAnsi="Times New Roman" w:cs="Times New Roman"/>
          <w:b/>
          <w:color w:val="000000" w:themeColor="text1"/>
          <w:sz w:val="28"/>
          <w:szCs w:val="28"/>
        </w:rPr>
        <w:t>оценки</w:t>
      </w:r>
      <w:r w:rsidR="004D22A7">
        <w:rPr>
          <w:rFonts w:ascii="Times New Roman" w:hAnsi="Times New Roman" w:cs="Times New Roman"/>
          <w:b/>
          <w:color w:val="000000" w:themeColor="text1"/>
          <w:sz w:val="28"/>
          <w:szCs w:val="28"/>
        </w:rPr>
        <w:t xml:space="preserve"> </w:t>
      </w:r>
      <w:r w:rsidR="004D22A7" w:rsidRPr="004D22A7">
        <w:rPr>
          <w:rFonts w:ascii="Times New Roman" w:hAnsi="Times New Roman" w:cs="Times New Roman"/>
          <w:color w:val="000000" w:themeColor="text1"/>
          <w:sz w:val="28"/>
          <w:szCs w:val="28"/>
        </w:rPr>
        <w:t>для определения соотношения расходов в условиях реального курса.</w:t>
      </w:r>
    </w:p>
    <w:p w:rsidR="00EC27B8" w:rsidRPr="007772CC" w:rsidRDefault="00EC27B8" w:rsidP="007772CC">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7772CC">
        <w:rPr>
          <w:rFonts w:ascii="Times New Roman" w:hAnsi="Times New Roman" w:cs="Times New Roman"/>
          <w:b/>
          <w:color w:val="000000" w:themeColor="text1"/>
          <w:sz w:val="28"/>
          <w:szCs w:val="28"/>
        </w:rPr>
        <w:t>Справочно:</w:t>
      </w:r>
    </w:p>
    <w:p w:rsidR="00EC27B8" w:rsidRPr="007772CC" w:rsidRDefault="00EC27B8" w:rsidP="007772CC">
      <w:pPr>
        <w:autoSpaceDE w:val="0"/>
        <w:autoSpaceDN w:val="0"/>
        <w:adjustRightInd w:val="0"/>
        <w:spacing w:after="0" w:line="240" w:lineRule="auto"/>
        <w:jc w:val="both"/>
        <w:rPr>
          <w:rFonts w:ascii="Times New Roman" w:hAnsi="Times New Roman" w:cs="Times New Roman"/>
          <w:i/>
          <w:color w:val="000000" w:themeColor="text1"/>
          <w:sz w:val="28"/>
          <w:szCs w:val="28"/>
        </w:rPr>
      </w:pPr>
      <w:r w:rsidRPr="007772CC">
        <w:rPr>
          <w:rFonts w:ascii="Times New Roman" w:hAnsi="Times New Roman" w:cs="Times New Roman"/>
          <w:b/>
          <w:i/>
          <w:color w:val="000000" w:themeColor="text1"/>
          <w:sz w:val="28"/>
          <w:szCs w:val="28"/>
        </w:rPr>
        <w:t xml:space="preserve">EKS-метод </w:t>
      </w:r>
      <w:r w:rsidR="007772CC" w:rsidRPr="007772CC">
        <w:rPr>
          <w:rFonts w:ascii="Times New Roman" w:hAnsi="Times New Roman" w:cs="Times New Roman"/>
          <w:i/>
          <w:color w:val="000000" w:themeColor="text1"/>
          <w:sz w:val="28"/>
          <w:szCs w:val="28"/>
        </w:rPr>
        <w:t>основывается на принципе транзитивности и для двух оцениваемых стран получается путем нахождения геометрического среднего индекса Фишера, вычисленное между двумя странами.</w:t>
      </w:r>
    </w:p>
    <w:p w:rsidR="004B5C19" w:rsidRDefault="00614373" w:rsidP="00AC7476">
      <w:pPr>
        <w:pStyle w:val="a9"/>
        <w:numPr>
          <w:ilvl w:val="0"/>
          <w:numId w:val="2"/>
        </w:num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Произведение</w:t>
      </w:r>
      <w:r w:rsidR="003B2604">
        <w:rPr>
          <w:rFonts w:ascii="Times New Roman" w:hAnsi="Times New Roman" w:cs="Times New Roman"/>
          <w:color w:val="000000" w:themeColor="text1"/>
          <w:sz w:val="28"/>
          <w:szCs w:val="28"/>
        </w:rPr>
        <w:t xml:space="preserve"> </w:t>
      </w:r>
      <w:r w:rsidR="001F6A65">
        <w:rPr>
          <w:rFonts w:ascii="Times New Roman" w:hAnsi="Times New Roman" w:cs="Times New Roman"/>
          <w:color w:val="000000" w:themeColor="text1"/>
          <w:sz w:val="28"/>
          <w:szCs w:val="28"/>
        </w:rPr>
        <w:t xml:space="preserve">стоимости </w:t>
      </w:r>
      <w:r w:rsidR="00A719F9">
        <w:rPr>
          <w:rFonts w:ascii="Times New Roman" w:hAnsi="Times New Roman" w:cs="Times New Roman"/>
          <w:color w:val="000000" w:themeColor="text1"/>
          <w:sz w:val="28"/>
          <w:szCs w:val="28"/>
        </w:rPr>
        <w:t>одного пролеченного случая</w:t>
      </w:r>
      <w:r>
        <w:rPr>
          <w:rFonts w:ascii="Times New Roman" w:hAnsi="Times New Roman" w:cs="Times New Roman"/>
          <w:color w:val="000000" w:themeColor="text1"/>
          <w:sz w:val="28"/>
          <w:szCs w:val="28"/>
        </w:rPr>
        <w:t xml:space="preserve"> в тенге к EKS-оценке</w:t>
      </w:r>
      <w:r w:rsidR="00ED4C66">
        <w:rPr>
          <w:rFonts w:ascii="Times New Roman" w:hAnsi="Times New Roman" w:cs="Times New Roman"/>
          <w:color w:val="000000" w:themeColor="text1"/>
          <w:sz w:val="28"/>
          <w:szCs w:val="28"/>
        </w:rPr>
        <w:t xml:space="preserve"> дает стоимость одного пролеченного случая, рассчитанного для Казахстана по ППС в евро.</w:t>
      </w:r>
    </w:p>
    <w:p w:rsidR="00373955" w:rsidRDefault="00A11B52" w:rsidP="00AC7476">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Результаты расчета представлены для двух категорий случаев (хирургических и нехирургических)</w:t>
      </w:r>
      <w:r w:rsidR="00F67F04">
        <w:rPr>
          <w:rFonts w:ascii="Times New Roman" w:hAnsi="Times New Roman" w:cs="Times New Roman"/>
          <w:color w:val="000000" w:themeColor="text1"/>
          <w:sz w:val="28"/>
          <w:szCs w:val="28"/>
        </w:rPr>
        <w:t xml:space="preserve"> и явно демонстрируют значительное превышение относительного уровня расходов на аналогичные типы случае</w:t>
      </w:r>
      <w:r w:rsidR="00501E3D">
        <w:rPr>
          <w:rFonts w:ascii="Times New Roman" w:hAnsi="Times New Roman" w:cs="Times New Roman"/>
          <w:color w:val="000000" w:themeColor="text1"/>
          <w:sz w:val="28"/>
          <w:szCs w:val="28"/>
        </w:rPr>
        <w:t>в</w:t>
      </w:r>
      <w:r w:rsidR="00F67F04">
        <w:rPr>
          <w:rFonts w:ascii="Times New Roman" w:hAnsi="Times New Roman" w:cs="Times New Roman"/>
          <w:color w:val="000000" w:themeColor="text1"/>
          <w:sz w:val="28"/>
          <w:szCs w:val="28"/>
        </w:rPr>
        <w:t xml:space="preserve"> для Казах</w:t>
      </w:r>
      <w:r w:rsidR="00A951C0">
        <w:rPr>
          <w:rFonts w:ascii="Times New Roman" w:hAnsi="Times New Roman" w:cs="Times New Roman"/>
          <w:color w:val="000000" w:themeColor="text1"/>
          <w:sz w:val="28"/>
          <w:szCs w:val="28"/>
        </w:rPr>
        <w:t>ст</w:t>
      </w:r>
      <w:r w:rsidR="00915215">
        <w:rPr>
          <w:rFonts w:ascii="Times New Roman" w:hAnsi="Times New Roman" w:cs="Times New Roman"/>
          <w:color w:val="000000" w:themeColor="text1"/>
          <w:sz w:val="28"/>
          <w:szCs w:val="28"/>
        </w:rPr>
        <w:t>ана и для стран ОЭСР (таблица 9</w:t>
      </w:r>
      <w:r w:rsidR="00F67F04">
        <w:rPr>
          <w:rFonts w:ascii="Times New Roman" w:hAnsi="Times New Roman" w:cs="Times New Roman"/>
          <w:color w:val="000000" w:themeColor="text1"/>
          <w:sz w:val="28"/>
          <w:szCs w:val="28"/>
        </w:rPr>
        <w:t>, рисунок</w:t>
      </w:r>
      <w:r w:rsidR="00A951C0">
        <w:rPr>
          <w:rFonts w:ascii="Times New Roman" w:hAnsi="Times New Roman" w:cs="Times New Roman"/>
          <w:color w:val="000000" w:themeColor="text1"/>
          <w:sz w:val="28"/>
          <w:szCs w:val="28"/>
        </w:rPr>
        <w:t xml:space="preserve"> 4).</w:t>
      </w:r>
    </w:p>
    <w:p w:rsidR="00373955" w:rsidRDefault="00373955" w:rsidP="00AC7476">
      <w:pPr>
        <w:autoSpaceDE w:val="0"/>
        <w:autoSpaceDN w:val="0"/>
        <w:adjustRightInd w:val="0"/>
        <w:spacing w:after="0" w:line="240" w:lineRule="auto"/>
        <w:jc w:val="both"/>
        <w:rPr>
          <w:rFonts w:ascii="Times New Roman" w:hAnsi="Times New Roman" w:cs="Times New Roman"/>
          <w:color w:val="000000" w:themeColor="text1"/>
          <w:sz w:val="28"/>
          <w:szCs w:val="28"/>
        </w:rPr>
      </w:pPr>
    </w:p>
    <w:p w:rsidR="00373955" w:rsidRPr="00373955" w:rsidRDefault="00F67F04" w:rsidP="002F049B">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373955">
        <w:rPr>
          <w:rFonts w:ascii="Times New Roman" w:hAnsi="Times New Roman" w:cs="Times New Roman"/>
          <w:b/>
          <w:color w:val="000000" w:themeColor="text1"/>
          <w:sz w:val="28"/>
          <w:szCs w:val="28"/>
        </w:rPr>
        <w:t>Таблица</w:t>
      </w:r>
      <w:r w:rsidR="00915215">
        <w:rPr>
          <w:rFonts w:ascii="Times New Roman" w:hAnsi="Times New Roman" w:cs="Times New Roman"/>
          <w:b/>
          <w:color w:val="000000" w:themeColor="text1"/>
          <w:sz w:val="28"/>
          <w:szCs w:val="28"/>
        </w:rPr>
        <w:t xml:space="preserve"> 9</w:t>
      </w:r>
      <w:r w:rsidRPr="00373955">
        <w:rPr>
          <w:rFonts w:ascii="Times New Roman" w:hAnsi="Times New Roman" w:cs="Times New Roman"/>
          <w:b/>
          <w:color w:val="000000" w:themeColor="text1"/>
          <w:sz w:val="28"/>
          <w:szCs w:val="28"/>
        </w:rPr>
        <w:t xml:space="preserve">. Сравнительный анализ стоимости пролеченного случая </w:t>
      </w:r>
      <w:r w:rsidR="00373955" w:rsidRPr="00373955">
        <w:rPr>
          <w:rFonts w:ascii="Times New Roman" w:hAnsi="Times New Roman" w:cs="Times New Roman"/>
          <w:b/>
          <w:color w:val="000000" w:themeColor="text1"/>
          <w:sz w:val="28"/>
          <w:szCs w:val="28"/>
        </w:rPr>
        <w:t>по нехирургическим типам заболеваний в стационаре</w:t>
      </w:r>
    </w:p>
    <w:tbl>
      <w:tblPr>
        <w:tblW w:w="9500" w:type="dxa"/>
        <w:tblInd w:w="98" w:type="dxa"/>
        <w:tblLook w:val="04A0" w:firstRow="1" w:lastRow="0" w:firstColumn="1" w:lastColumn="0" w:noHBand="0" w:noVBand="1"/>
      </w:tblPr>
      <w:tblGrid>
        <w:gridCol w:w="620"/>
        <w:gridCol w:w="3020"/>
        <w:gridCol w:w="1140"/>
        <w:gridCol w:w="1360"/>
        <w:gridCol w:w="1920"/>
        <w:gridCol w:w="1440"/>
      </w:tblGrid>
      <w:tr w:rsidR="00373955" w:rsidRPr="00373955" w:rsidTr="00373955">
        <w:trPr>
          <w:trHeight w:val="765"/>
        </w:trPr>
        <w:tc>
          <w:tcPr>
            <w:tcW w:w="62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w:t>
            </w:r>
          </w:p>
        </w:tc>
        <w:tc>
          <w:tcPr>
            <w:tcW w:w="30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Тип случая</w:t>
            </w:r>
          </w:p>
        </w:tc>
        <w:tc>
          <w:tcPr>
            <w:tcW w:w="2500" w:type="dxa"/>
            <w:gridSpan w:val="2"/>
            <w:tcBorders>
              <w:top w:val="single" w:sz="8" w:space="0" w:color="auto"/>
              <w:left w:val="nil"/>
              <w:bottom w:val="single" w:sz="4" w:space="0" w:color="auto"/>
              <w:right w:val="single" w:sz="4" w:space="0" w:color="auto"/>
            </w:tcBorders>
            <w:shd w:val="clear" w:color="auto" w:fill="auto"/>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Стоимость 1 пролеченного случая</w:t>
            </w:r>
          </w:p>
        </w:tc>
        <w:tc>
          <w:tcPr>
            <w:tcW w:w="19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Стоимость 1 пролеченного случая для Казахстана по ППС в евро</w:t>
            </w:r>
          </w:p>
        </w:tc>
        <w:tc>
          <w:tcPr>
            <w:tcW w:w="1440"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Отклонение</w:t>
            </w:r>
          </w:p>
        </w:tc>
      </w:tr>
      <w:tr w:rsidR="00373955" w:rsidRPr="00373955" w:rsidTr="00373955">
        <w:trPr>
          <w:trHeight w:val="750"/>
        </w:trPr>
        <w:tc>
          <w:tcPr>
            <w:tcW w:w="620" w:type="dxa"/>
            <w:vMerge/>
            <w:tcBorders>
              <w:top w:val="single" w:sz="8" w:space="0" w:color="auto"/>
              <w:left w:val="single" w:sz="8" w:space="0" w:color="auto"/>
              <w:bottom w:val="single" w:sz="8" w:space="0" w:color="000000"/>
              <w:right w:val="single" w:sz="4" w:space="0" w:color="auto"/>
            </w:tcBorders>
            <w:vAlign w:val="center"/>
            <w:hideMark/>
          </w:tcPr>
          <w:p w:rsidR="00373955" w:rsidRPr="00373955" w:rsidRDefault="00373955" w:rsidP="00373955">
            <w:pPr>
              <w:spacing w:after="0" w:line="240" w:lineRule="auto"/>
              <w:rPr>
                <w:rFonts w:ascii="Times New Roman" w:eastAsia="Times New Roman" w:hAnsi="Times New Roman" w:cs="Times New Roman"/>
                <w:b/>
                <w:bCs/>
                <w:color w:val="000000"/>
                <w:lang w:eastAsia="ru-RU"/>
              </w:rPr>
            </w:pPr>
          </w:p>
        </w:tc>
        <w:tc>
          <w:tcPr>
            <w:tcW w:w="3020" w:type="dxa"/>
            <w:vMerge/>
            <w:tcBorders>
              <w:top w:val="single" w:sz="8" w:space="0" w:color="auto"/>
              <w:left w:val="single" w:sz="4" w:space="0" w:color="auto"/>
              <w:bottom w:val="single" w:sz="8" w:space="0" w:color="000000"/>
              <w:right w:val="single" w:sz="4" w:space="0" w:color="auto"/>
            </w:tcBorders>
            <w:vAlign w:val="center"/>
            <w:hideMark/>
          </w:tcPr>
          <w:p w:rsidR="00373955" w:rsidRPr="00373955" w:rsidRDefault="00373955" w:rsidP="00373955">
            <w:pPr>
              <w:spacing w:after="0" w:line="240" w:lineRule="auto"/>
              <w:rPr>
                <w:rFonts w:ascii="Times New Roman" w:eastAsia="Times New Roman" w:hAnsi="Times New Roman" w:cs="Times New Roman"/>
                <w:b/>
                <w:bCs/>
                <w:color w:val="000000"/>
                <w:lang w:eastAsia="ru-RU"/>
              </w:rPr>
            </w:pPr>
          </w:p>
        </w:tc>
        <w:tc>
          <w:tcPr>
            <w:tcW w:w="1140" w:type="dxa"/>
            <w:tcBorders>
              <w:top w:val="nil"/>
              <w:left w:val="nil"/>
              <w:bottom w:val="single" w:sz="8" w:space="0" w:color="auto"/>
              <w:right w:val="single" w:sz="4" w:space="0" w:color="auto"/>
            </w:tcBorders>
            <w:shd w:val="clear" w:color="auto" w:fill="auto"/>
            <w:vAlign w:val="center"/>
            <w:hideMark/>
          </w:tcPr>
          <w:p w:rsidR="00373955" w:rsidRPr="00373955" w:rsidRDefault="00373955" w:rsidP="00373955">
            <w:pPr>
              <w:spacing w:after="0" w:line="240" w:lineRule="auto"/>
              <w:jc w:val="center"/>
              <w:rPr>
                <w:rFonts w:ascii="Times New Roman" w:eastAsia="Times New Roman" w:hAnsi="Times New Roman" w:cs="Times New Roman"/>
                <w:b/>
                <w:bCs/>
                <w:i/>
                <w:iCs/>
                <w:color w:val="000000"/>
                <w:lang w:eastAsia="ru-RU"/>
              </w:rPr>
            </w:pPr>
            <w:r w:rsidRPr="00373955">
              <w:rPr>
                <w:rFonts w:ascii="Times New Roman" w:eastAsia="Times New Roman" w:hAnsi="Times New Roman" w:cs="Times New Roman"/>
                <w:b/>
                <w:bCs/>
                <w:i/>
                <w:iCs/>
                <w:color w:val="000000"/>
                <w:lang w:eastAsia="ru-RU"/>
              </w:rPr>
              <w:t>ОЭСР, евро</w:t>
            </w:r>
          </w:p>
        </w:tc>
        <w:tc>
          <w:tcPr>
            <w:tcW w:w="1360" w:type="dxa"/>
            <w:tcBorders>
              <w:top w:val="nil"/>
              <w:left w:val="nil"/>
              <w:bottom w:val="single" w:sz="8" w:space="0" w:color="auto"/>
              <w:right w:val="single" w:sz="4" w:space="0" w:color="auto"/>
            </w:tcBorders>
            <w:shd w:val="clear" w:color="auto" w:fill="auto"/>
            <w:vAlign w:val="center"/>
            <w:hideMark/>
          </w:tcPr>
          <w:p w:rsidR="00373955" w:rsidRPr="00373955" w:rsidRDefault="00373955" w:rsidP="00373955">
            <w:pPr>
              <w:spacing w:after="0" w:line="240" w:lineRule="auto"/>
              <w:jc w:val="center"/>
              <w:rPr>
                <w:rFonts w:ascii="Times New Roman" w:eastAsia="Times New Roman" w:hAnsi="Times New Roman" w:cs="Times New Roman"/>
                <w:b/>
                <w:bCs/>
                <w:i/>
                <w:iCs/>
                <w:color w:val="000000"/>
                <w:lang w:eastAsia="ru-RU"/>
              </w:rPr>
            </w:pPr>
            <w:r w:rsidRPr="00373955">
              <w:rPr>
                <w:rFonts w:ascii="Times New Roman" w:eastAsia="Times New Roman" w:hAnsi="Times New Roman" w:cs="Times New Roman"/>
                <w:b/>
                <w:bCs/>
                <w:i/>
                <w:iCs/>
                <w:color w:val="000000"/>
                <w:lang w:eastAsia="ru-RU"/>
              </w:rPr>
              <w:t>Казахстан, тенге</w:t>
            </w:r>
          </w:p>
        </w:tc>
        <w:tc>
          <w:tcPr>
            <w:tcW w:w="1920" w:type="dxa"/>
            <w:vMerge/>
            <w:tcBorders>
              <w:top w:val="single" w:sz="8" w:space="0" w:color="auto"/>
              <w:left w:val="single" w:sz="4" w:space="0" w:color="auto"/>
              <w:bottom w:val="single" w:sz="8" w:space="0" w:color="000000"/>
              <w:right w:val="single" w:sz="4" w:space="0" w:color="auto"/>
            </w:tcBorders>
            <w:vAlign w:val="center"/>
            <w:hideMark/>
          </w:tcPr>
          <w:p w:rsidR="00373955" w:rsidRPr="00373955" w:rsidRDefault="00373955" w:rsidP="00373955">
            <w:pPr>
              <w:spacing w:after="0" w:line="240" w:lineRule="auto"/>
              <w:rPr>
                <w:rFonts w:ascii="Times New Roman" w:eastAsia="Times New Roman" w:hAnsi="Times New Roman" w:cs="Times New Roman"/>
                <w:b/>
                <w:bCs/>
                <w:color w:val="000000"/>
                <w:lang w:eastAsia="ru-RU"/>
              </w:rPr>
            </w:pPr>
          </w:p>
        </w:tc>
        <w:tc>
          <w:tcPr>
            <w:tcW w:w="1440" w:type="dxa"/>
            <w:vMerge/>
            <w:tcBorders>
              <w:top w:val="single" w:sz="8" w:space="0" w:color="auto"/>
              <w:left w:val="single" w:sz="4" w:space="0" w:color="auto"/>
              <w:bottom w:val="single" w:sz="8" w:space="0" w:color="000000"/>
              <w:right w:val="single" w:sz="8" w:space="0" w:color="auto"/>
            </w:tcBorders>
            <w:vAlign w:val="center"/>
            <w:hideMark/>
          </w:tcPr>
          <w:p w:rsidR="00373955" w:rsidRPr="00373955" w:rsidRDefault="00373955" w:rsidP="00373955">
            <w:pPr>
              <w:spacing w:after="0" w:line="240" w:lineRule="auto"/>
              <w:rPr>
                <w:rFonts w:ascii="Times New Roman" w:eastAsia="Times New Roman" w:hAnsi="Times New Roman" w:cs="Times New Roman"/>
                <w:b/>
                <w:bCs/>
                <w:color w:val="000000"/>
                <w:lang w:eastAsia="ru-RU"/>
              </w:rPr>
            </w:pPr>
          </w:p>
        </w:tc>
      </w:tr>
      <w:tr w:rsidR="00373955" w:rsidRPr="00373955" w:rsidTr="00373955">
        <w:trPr>
          <w:trHeight w:val="600"/>
        </w:trPr>
        <w:tc>
          <w:tcPr>
            <w:tcW w:w="620" w:type="dxa"/>
            <w:tcBorders>
              <w:top w:val="nil"/>
              <w:left w:val="single" w:sz="8" w:space="0" w:color="auto"/>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1</w:t>
            </w:r>
          </w:p>
        </w:tc>
        <w:tc>
          <w:tcPr>
            <w:tcW w:w="3020" w:type="dxa"/>
            <w:tcBorders>
              <w:top w:val="nil"/>
              <w:left w:val="nil"/>
              <w:bottom w:val="single" w:sz="4" w:space="0" w:color="002060"/>
              <w:right w:val="single" w:sz="4" w:space="0" w:color="002060"/>
            </w:tcBorders>
            <w:shd w:val="clear" w:color="auto" w:fill="auto"/>
            <w:vAlign w:val="bottom"/>
            <w:hideMark/>
          </w:tcPr>
          <w:p w:rsidR="00373955" w:rsidRPr="00373955" w:rsidRDefault="00373955" w:rsidP="00373955">
            <w:pPr>
              <w:spacing w:after="0" w:line="240" w:lineRule="auto"/>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М01 Острый инфаркт миокарда</w:t>
            </w:r>
          </w:p>
        </w:tc>
        <w:tc>
          <w:tcPr>
            <w:tcW w:w="114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3 170</w:t>
            </w:r>
          </w:p>
        </w:tc>
        <w:tc>
          <w:tcPr>
            <w:tcW w:w="136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69 981</w:t>
            </w:r>
          </w:p>
        </w:tc>
        <w:tc>
          <w:tcPr>
            <w:tcW w:w="1920" w:type="dxa"/>
            <w:tcBorders>
              <w:top w:val="nil"/>
              <w:left w:val="nil"/>
              <w:bottom w:val="single" w:sz="4" w:space="0" w:color="002060"/>
              <w:right w:val="nil"/>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14 895</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4,70</w:t>
            </w:r>
          </w:p>
        </w:tc>
      </w:tr>
      <w:tr w:rsidR="00373955" w:rsidRPr="00373955" w:rsidTr="00373955">
        <w:trPr>
          <w:trHeight w:val="300"/>
        </w:trPr>
        <w:tc>
          <w:tcPr>
            <w:tcW w:w="620" w:type="dxa"/>
            <w:tcBorders>
              <w:top w:val="nil"/>
              <w:left w:val="single" w:sz="8" w:space="0" w:color="auto"/>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2</w:t>
            </w:r>
          </w:p>
        </w:tc>
        <w:tc>
          <w:tcPr>
            <w:tcW w:w="3020" w:type="dxa"/>
            <w:tcBorders>
              <w:top w:val="nil"/>
              <w:left w:val="nil"/>
              <w:bottom w:val="single" w:sz="4" w:space="0" w:color="002060"/>
              <w:right w:val="single" w:sz="4" w:space="0" w:color="002060"/>
            </w:tcBorders>
            <w:shd w:val="clear" w:color="auto" w:fill="auto"/>
            <w:vAlign w:val="bottom"/>
            <w:hideMark/>
          </w:tcPr>
          <w:p w:rsidR="00373955" w:rsidRPr="00373955" w:rsidRDefault="00373955" w:rsidP="00373955">
            <w:pPr>
              <w:spacing w:after="0" w:line="240" w:lineRule="auto"/>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М02 Стенокардия</w:t>
            </w:r>
          </w:p>
        </w:tc>
        <w:tc>
          <w:tcPr>
            <w:tcW w:w="114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1 869</w:t>
            </w:r>
          </w:p>
        </w:tc>
        <w:tc>
          <w:tcPr>
            <w:tcW w:w="136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38 086</w:t>
            </w:r>
          </w:p>
        </w:tc>
        <w:tc>
          <w:tcPr>
            <w:tcW w:w="1920" w:type="dxa"/>
            <w:tcBorders>
              <w:top w:val="nil"/>
              <w:left w:val="nil"/>
              <w:bottom w:val="single" w:sz="4" w:space="0" w:color="002060"/>
              <w:right w:val="nil"/>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8 436</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4,51</w:t>
            </w:r>
          </w:p>
        </w:tc>
      </w:tr>
      <w:tr w:rsidR="00373955" w:rsidRPr="00373955" w:rsidTr="00373955">
        <w:trPr>
          <w:trHeight w:val="300"/>
        </w:trPr>
        <w:tc>
          <w:tcPr>
            <w:tcW w:w="620" w:type="dxa"/>
            <w:tcBorders>
              <w:top w:val="nil"/>
              <w:left w:val="single" w:sz="8" w:space="0" w:color="auto"/>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3</w:t>
            </w:r>
          </w:p>
        </w:tc>
        <w:tc>
          <w:tcPr>
            <w:tcW w:w="3020" w:type="dxa"/>
            <w:tcBorders>
              <w:top w:val="nil"/>
              <w:left w:val="nil"/>
              <w:bottom w:val="single" w:sz="4" w:space="0" w:color="002060"/>
              <w:right w:val="single" w:sz="4" w:space="0" w:color="002060"/>
            </w:tcBorders>
            <w:shd w:val="clear" w:color="auto" w:fill="auto"/>
            <w:vAlign w:val="bottom"/>
            <w:hideMark/>
          </w:tcPr>
          <w:p w:rsidR="00373955" w:rsidRPr="00373955" w:rsidRDefault="00373955" w:rsidP="00373955">
            <w:pPr>
              <w:spacing w:after="0" w:line="240" w:lineRule="auto"/>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М03 Холестилиаз</w:t>
            </w:r>
          </w:p>
        </w:tc>
        <w:tc>
          <w:tcPr>
            <w:tcW w:w="114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1 677</w:t>
            </w:r>
          </w:p>
        </w:tc>
        <w:tc>
          <w:tcPr>
            <w:tcW w:w="136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14 854</w:t>
            </w:r>
          </w:p>
        </w:tc>
        <w:tc>
          <w:tcPr>
            <w:tcW w:w="1920" w:type="dxa"/>
            <w:tcBorders>
              <w:top w:val="nil"/>
              <w:left w:val="nil"/>
              <w:bottom w:val="single" w:sz="4" w:space="0" w:color="002060"/>
              <w:right w:val="nil"/>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4 991</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2,98</w:t>
            </w:r>
          </w:p>
        </w:tc>
      </w:tr>
      <w:tr w:rsidR="00373955" w:rsidRPr="00373955" w:rsidTr="00373955">
        <w:trPr>
          <w:trHeight w:val="600"/>
        </w:trPr>
        <w:tc>
          <w:tcPr>
            <w:tcW w:w="620" w:type="dxa"/>
            <w:tcBorders>
              <w:top w:val="nil"/>
              <w:left w:val="single" w:sz="8" w:space="0" w:color="auto"/>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4</w:t>
            </w:r>
          </w:p>
        </w:tc>
        <w:tc>
          <w:tcPr>
            <w:tcW w:w="3020" w:type="dxa"/>
            <w:tcBorders>
              <w:top w:val="nil"/>
              <w:left w:val="nil"/>
              <w:bottom w:val="single" w:sz="4" w:space="0" w:color="002060"/>
              <w:right w:val="single" w:sz="4" w:space="0" w:color="002060"/>
            </w:tcBorders>
            <w:shd w:val="clear" w:color="auto" w:fill="auto"/>
            <w:vAlign w:val="bottom"/>
            <w:hideMark/>
          </w:tcPr>
          <w:p w:rsidR="00373955" w:rsidRPr="00373955" w:rsidRDefault="00373955" w:rsidP="00373955">
            <w:pPr>
              <w:spacing w:after="0" w:line="240" w:lineRule="auto"/>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М04 Сердечная недостаточность</w:t>
            </w:r>
          </w:p>
        </w:tc>
        <w:tc>
          <w:tcPr>
            <w:tcW w:w="114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2 728</w:t>
            </w:r>
          </w:p>
        </w:tc>
        <w:tc>
          <w:tcPr>
            <w:tcW w:w="136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18 418</w:t>
            </w:r>
          </w:p>
        </w:tc>
        <w:tc>
          <w:tcPr>
            <w:tcW w:w="1920" w:type="dxa"/>
            <w:tcBorders>
              <w:top w:val="nil"/>
              <w:left w:val="nil"/>
              <w:bottom w:val="single" w:sz="4" w:space="0" w:color="002060"/>
              <w:right w:val="nil"/>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7 089</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2,60</w:t>
            </w:r>
          </w:p>
        </w:tc>
      </w:tr>
      <w:tr w:rsidR="00373955" w:rsidRPr="00373955" w:rsidTr="00373955">
        <w:trPr>
          <w:trHeight w:val="600"/>
        </w:trPr>
        <w:tc>
          <w:tcPr>
            <w:tcW w:w="620" w:type="dxa"/>
            <w:tcBorders>
              <w:top w:val="nil"/>
              <w:left w:val="single" w:sz="8" w:space="0" w:color="auto"/>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5</w:t>
            </w:r>
          </w:p>
        </w:tc>
        <w:tc>
          <w:tcPr>
            <w:tcW w:w="3020" w:type="dxa"/>
            <w:tcBorders>
              <w:top w:val="nil"/>
              <w:left w:val="nil"/>
              <w:bottom w:val="single" w:sz="4" w:space="0" w:color="002060"/>
              <w:right w:val="single" w:sz="4" w:space="0" w:color="002060"/>
            </w:tcBorders>
            <w:shd w:val="clear" w:color="auto" w:fill="auto"/>
            <w:vAlign w:val="bottom"/>
            <w:hideMark/>
          </w:tcPr>
          <w:p w:rsidR="00373955" w:rsidRPr="00373955" w:rsidRDefault="00373955" w:rsidP="00373955">
            <w:pPr>
              <w:spacing w:after="0" w:line="240" w:lineRule="auto"/>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М05 Злокачественные образования бронхов и легких</w:t>
            </w:r>
          </w:p>
        </w:tc>
        <w:tc>
          <w:tcPr>
            <w:tcW w:w="114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2 377</w:t>
            </w:r>
          </w:p>
        </w:tc>
        <w:tc>
          <w:tcPr>
            <w:tcW w:w="136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23 678</w:t>
            </w:r>
          </w:p>
        </w:tc>
        <w:tc>
          <w:tcPr>
            <w:tcW w:w="1920" w:type="dxa"/>
            <w:tcBorders>
              <w:top w:val="nil"/>
              <w:left w:val="nil"/>
              <w:bottom w:val="single" w:sz="4" w:space="0" w:color="002060"/>
              <w:right w:val="nil"/>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7 501</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3,16</w:t>
            </w:r>
          </w:p>
        </w:tc>
      </w:tr>
      <w:tr w:rsidR="00373955" w:rsidRPr="00373955" w:rsidTr="00373955">
        <w:trPr>
          <w:trHeight w:val="300"/>
        </w:trPr>
        <w:tc>
          <w:tcPr>
            <w:tcW w:w="620" w:type="dxa"/>
            <w:tcBorders>
              <w:top w:val="nil"/>
              <w:left w:val="single" w:sz="8" w:space="0" w:color="auto"/>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6</w:t>
            </w:r>
          </w:p>
        </w:tc>
        <w:tc>
          <w:tcPr>
            <w:tcW w:w="3020" w:type="dxa"/>
            <w:tcBorders>
              <w:top w:val="nil"/>
              <w:left w:val="nil"/>
              <w:bottom w:val="single" w:sz="4" w:space="0" w:color="002060"/>
              <w:right w:val="single" w:sz="4" w:space="0" w:color="002060"/>
            </w:tcBorders>
            <w:shd w:val="clear" w:color="auto" w:fill="auto"/>
            <w:vAlign w:val="bottom"/>
            <w:hideMark/>
          </w:tcPr>
          <w:p w:rsidR="00373955" w:rsidRPr="00373955" w:rsidRDefault="00373955" w:rsidP="00373955">
            <w:pPr>
              <w:spacing w:after="0" w:line="240" w:lineRule="auto"/>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М06 Самопроизвольные роды</w:t>
            </w:r>
          </w:p>
        </w:tc>
        <w:tc>
          <w:tcPr>
            <w:tcW w:w="114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1 458</w:t>
            </w:r>
          </w:p>
        </w:tc>
        <w:tc>
          <w:tcPr>
            <w:tcW w:w="1360" w:type="dxa"/>
            <w:tcBorders>
              <w:top w:val="nil"/>
              <w:left w:val="nil"/>
              <w:bottom w:val="single" w:sz="4" w:space="0" w:color="002060"/>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18 107</w:t>
            </w:r>
          </w:p>
        </w:tc>
        <w:tc>
          <w:tcPr>
            <w:tcW w:w="1920" w:type="dxa"/>
            <w:tcBorders>
              <w:top w:val="nil"/>
              <w:left w:val="nil"/>
              <w:bottom w:val="single" w:sz="4" w:space="0" w:color="002060"/>
              <w:right w:val="nil"/>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5 137</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3,52</w:t>
            </w:r>
          </w:p>
        </w:tc>
      </w:tr>
      <w:tr w:rsidR="00373955" w:rsidRPr="00373955" w:rsidTr="00373955">
        <w:trPr>
          <w:trHeight w:val="315"/>
        </w:trPr>
        <w:tc>
          <w:tcPr>
            <w:tcW w:w="620" w:type="dxa"/>
            <w:tcBorders>
              <w:top w:val="nil"/>
              <w:left w:val="single" w:sz="8" w:space="0" w:color="auto"/>
              <w:bottom w:val="single" w:sz="8" w:space="0" w:color="auto"/>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7</w:t>
            </w:r>
          </w:p>
        </w:tc>
        <w:tc>
          <w:tcPr>
            <w:tcW w:w="3020" w:type="dxa"/>
            <w:tcBorders>
              <w:top w:val="nil"/>
              <w:left w:val="nil"/>
              <w:bottom w:val="single" w:sz="8" w:space="0" w:color="auto"/>
              <w:right w:val="single" w:sz="4" w:space="0" w:color="002060"/>
            </w:tcBorders>
            <w:shd w:val="clear" w:color="auto" w:fill="auto"/>
            <w:vAlign w:val="bottom"/>
            <w:hideMark/>
          </w:tcPr>
          <w:p w:rsidR="00373955" w:rsidRPr="00373955" w:rsidRDefault="00373955" w:rsidP="00373955">
            <w:pPr>
              <w:spacing w:after="0" w:line="240" w:lineRule="auto"/>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М07 Пневмония</w:t>
            </w:r>
          </w:p>
        </w:tc>
        <w:tc>
          <w:tcPr>
            <w:tcW w:w="1140" w:type="dxa"/>
            <w:tcBorders>
              <w:top w:val="nil"/>
              <w:left w:val="nil"/>
              <w:bottom w:val="single" w:sz="8" w:space="0" w:color="auto"/>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2 580</w:t>
            </w:r>
          </w:p>
        </w:tc>
        <w:tc>
          <w:tcPr>
            <w:tcW w:w="1360" w:type="dxa"/>
            <w:tcBorders>
              <w:top w:val="nil"/>
              <w:left w:val="nil"/>
              <w:bottom w:val="single" w:sz="8" w:space="0" w:color="auto"/>
              <w:right w:val="single" w:sz="4" w:space="0" w:color="002060"/>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11 774</w:t>
            </w:r>
          </w:p>
        </w:tc>
        <w:tc>
          <w:tcPr>
            <w:tcW w:w="1920" w:type="dxa"/>
            <w:tcBorders>
              <w:top w:val="nil"/>
              <w:left w:val="nil"/>
              <w:bottom w:val="single" w:sz="8" w:space="0" w:color="auto"/>
              <w:right w:val="nil"/>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b/>
                <w:bCs/>
                <w:color w:val="000000"/>
                <w:lang w:eastAsia="ru-RU"/>
              </w:rPr>
            </w:pPr>
            <w:r w:rsidRPr="00373955">
              <w:rPr>
                <w:rFonts w:ascii="Times New Roman" w:eastAsia="Times New Roman" w:hAnsi="Times New Roman" w:cs="Times New Roman"/>
                <w:b/>
                <w:bCs/>
                <w:color w:val="000000"/>
                <w:lang w:eastAsia="ru-RU"/>
              </w:rPr>
              <w:t>5 512</w:t>
            </w:r>
          </w:p>
        </w:tc>
        <w:tc>
          <w:tcPr>
            <w:tcW w:w="1440" w:type="dxa"/>
            <w:tcBorders>
              <w:top w:val="nil"/>
              <w:left w:val="single" w:sz="4" w:space="0" w:color="auto"/>
              <w:bottom w:val="single" w:sz="8" w:space="0" w:color="auto"/>
              <w:right w:val="single" w:sz="8" w:space="0" w:color="auto"/>
            </w:tcBorders>
            <w:shd w:val="clear" w:color="auto" w:fill="auto"/>
            <w:noWrap/>
            <w:vAlign w:val="center"/>
            <w:hideMark/>
          </w:tcPr>
          <w:p w:rsidR="00373955" w:rsidRPr="00373955" w:rsidRDefault="00373955" w:rsidP="00373955">
            <w:pPr>
              <w:spacing w:after="0" w:line="240" w:lineRule="auto"/>
              <w:jc w:val="center"/>
              <w:rPr>
                <w:rFonts w:ascii="Times New Roman" w:eastAsia="Times New Roman" w:hAnsi="Times New Roman" w:cs="Times New Roman"/>
                <w:color w:val="000000"/>
                <w:lang w:eastAsia="ru-RU"/>
              </w:rPr>
            </w:pPr>
            <w:r w:rsidRPr="00373955">
              <w:rPr>
                <w:rFonts w:ascii="Times New Roman" w:eastAsia="Times New Roman" w:hAnsi="Times New Roman" w:cs="Times New Roman"/>
                <w:color w:val="000000"/>
                <w:lang w:eastAsia="ru-RU"/>
              </w:rPr>
              <w:t>2,14</w:t>
            </w:r>
          </w:p>
        </w:tc>
      </w:tr>
    </w:tbl>
    <w:p w:rsidR="00373955" w:rsidRPr="00AC7476" w:rsidRDefault="00373955" w:rsidP="00AC7476">
      <w:pPr>
        <w:autoSpaceDE w:val="0"/>
        <w:autoSpaceDN w:val="0"/>
        <w:adjustRightInd w:val="0"/>
        <w:spacing w:after="0" w:line="240" w:lineRule="auto"/>
        <w:jc w:val="both"/>
        <w:rPr>
          <w:rFonts w:ascii="Times New Roman" w:hAnsi="Times New Roman" w:cs="Times New Roman"/>
          <w:color w:val="000000" w:themeColor="text1"/>
          <w:sz w:val="28"/>
          <w:szCs w:val="28"/>
        </w:rPr>
      </w:pPr>
    </w:p>
    <w:p w:rsidR="00373955" w:rsidRDefault="00373955" w:rsidP="00373955">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915215">
        <w:rPr>
          <w:rFonts w:ascii="Times New Roman" w:hAnsi="Times New Roman" w:cs="Times New Roman"/>
          <w:b/>
          <w:color w:val="000000" w:themeColor="text1"/>
          <w:sz w:val="28"/>
          <w:szCs w:val="28"/>
        </w:rPr>
        <w:lastRenderedPageBreak/>
        <w:t>Рисунок</w:t>
      </w:r>
      <w:r w:rsidR="00BC6912" w:rsidRPr="00915215">
        <w:rPr>
          <w:rFonts w:ascii="Times New Roman" w:hAnsi="Times New Roman" w:cs="Times New Roman"/>
          <w:b/>
          <w:color w:val="000000" w:themeColor="text1"/>
          <w:sz w:val="28"/>
          <w:szCs w:val="28"/>
        </w:rPr>
        <w:t xml:space="preserve"> 4</w:t>
      </w:r>
      <w:r w:rsidRPr="00915215">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 xml:space="preserve"> </w:t>
      </w:r>
      <w:r w:rsidRPr="00373955">
        <w:rPr>
          <w:rFonts w:ascii="Times New Roman" w:hAnsi="Times New Roman" w:cs="Times New Roman"/>
          <w:b/>
          <w:color w:val="000000" w:themeColor="text1"/>
          <w:sz w:val="28"/>
          <w:szCs w:val="28"/>
        </w:rPr>
        <w:t>Сравнительный анализ стоимости пролеченного случая по нехирургическим типам заболеваний в стационаре</w:t>
      </w:r>
    </w:p>
    <w:p w:rsidR="00373955" w:rsidRPr="00AC7476" w:rsidRDefault="00373955" w:rsidP="00373955">
      <w:pPr>
        <w:autoSpaceDE w:val="0"/>
        <w:autoSpaceDN w:val="0"/>
        <w:adjustRightInd w:val="0"/>
        <w:spacing w:after="0" w:line="240" w:lineRule="auto"/>
        <w:jc w:val="both"/>
        <w:rPr>
          <w:rFonts w:ascii="Times New Roman" w:hAnsi="Times New Roman" w:cs="Times New Roman"/>
          <w:color w:val="000000" w:themeColor="text1"/>
          <w:sz w:val="28"/>
          <w:szCs w:val="28"/>
        </w:rPr>
      </w:pPr>
      <w:r w:rsidRPr="00373955">
        <w:rPr>
          <w:rFonts w:ascii="Times New Roman" w:hAnsi="Times New Roman" w:cs="Times New Roman"/>
          <w:noProof/>
          <w:color w:val="000000" w:themeColor="text1"/>
          <w:sz w:val="28"/>
          <w:szCs w:val="28"/>
          <w:lang w:eastAsia="ru-RU"/>
        </w:rPr>
        <w:drawing>
          <wp:inline distT="0" distB="0" distL="0" distR="0">
            <wp:extent cx="6280030" cy="2173857"/>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12C9C" w:rsidRDefault="00A12C9C" w:rsidP="000A07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F2B4F">
        <w:rPr>
          <w:rFonts w:ascii="Times New Roman" w:hAnsi="Times New Roman" w:cs="Times New Roman"/>
          <w:color w:val="000000" w:themeColor="text1"/>
          <w:sz w:val="28"/>
          <w:szCs w:val="28"/>
        </w:rPr>
        <w:t xml:space="preserve">Рассчитанные данные свидетельствуют о значительном превышении уровня стоимости пролеченного случая по нехирургическим типам заболеваний в стационаре, отобранным в строгом соответствии с требованиями ОЭСР по репрезентативности межстрановых ценовых сопоставлений. Наибольшее отклонение наблюдается по </w:t>
      </w:r>
      <w:r w:rsidR="00DF2B4F" w:rsidRPr="00DF2B4F">
        <w:rPr>
          <w:rFonts w:ascii="Times New Roman" w:hAnsi="Times New Roman" w:cs="Times New Roman"/>
          <w:color w:val="000000" w:themeColor="text1"/>
          <w:sz w:val="28"/>
          <w:szCs w:val="28"/>
        </w:rPr>
        <w:t>М01 Острый инфаркт миокарда</w:t>
      </w:r>
      <w:r w:rsidR="00DF2B4F">
        <w:rPr>
          <w:rFonts w:ascii="Times New Roman" w:hAnsi="Times New Roman" w:cs="Times New Roman"/>
          <w:color w:val="000000" w:themeColor="text1"/>
          <w:sz w:val="28"/>
          <w:szCs w:val="28"/>
        </w:rPr>
        <w:t xml:space="preserve"> в 4,7 раза данный тип случая является для потребителей медицинских услуг в Казахстане дороже, чем аналогичная услуга в странах ОЭСР. Далее идет </w:t>
      </w:r>
      <w:r w:rsidR="00DF2B4F" w:rsidRPr="00DF2B4F">
        <w:rPr>
          <w:rFonts w:ascii="Times New Roman" w:hAnsi="Times New Roman" w:cs="Times New Roman"/>
          <w:color w:val="000000" w:themeColor="text1"/>
          <w:sz w:val="28"/>
          <w:szCs w:val="28"/>
        </w:rPr>
        <w:t>М02 Стенокардия</w:t>
      </w:r>
      <w:r w:rsidR="008D1D78">
        <w:rPr>
          <w:rFonts w:ascii="Times New Roman" w:hAnsi="Times New Roman" w:cs="Times New Roman"/>
          <w:color w:val="000000" w:themeColor="text1"/>
          <w:sz w:val="28"/>
          <w:szCs w:val="28"/>
        </w:rPr>
        <w:t>, где стоимость случая дороже в Казахстане в 4,5 раза. Наименьшие ценовые различия наблюдаются по сердечной недостаточности и пневмонии: сердечная недостаточность составляет в Казахстане 7 089 евро по ППС, что дороже чем в странах ОЭСР в 2,6 раза и услуги пневмонии оплачиваются населением Казахстана в 2,14 больше.</w:t>
      </w:r>
    </w:p>
    <w:p w:rsidR="0027165D" w:rsidRDefault="0027165D" w:rsidP="000A07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Таким образом, представленные типы нехирургических случаев за 2017 год в среднем оказались в 3,3 раза дороже для населения Казахстана, чем аналогичные услуги, оказанные в странах ОЭСР.</w:t>
      </w:r>
    </w:p>
    <w:p w:rsidR="002F049B" w:rsidRDefault="00F02B23" w:rsidP="002F049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Далее, применим аналогичную методику расчета ППС к хирургическим случаям и сформируем сравнительный анализ (таблица</w:t>
      </w:r>
      <w:r w:rsidR="00915215">
        <w:rPr>
          <w:rFonts w:ascii="Times New Roman" w:hAnsi="Times New Roman" w:cs="Times New Roman"/>
          <w:color w:val="000000" w:themeColor="text1"/>
          <w:sz w:val="28"/>
          <w:szCs w:val="28"/>
        </w:rPr>
        <w:t xml:space="preserve"> 10</w:t>
      </w:r>
      <w:r>
        <w:rPr>
          <w:rFonts w:ascii="Times New Roman" w:hAnsi="Times New Roman" w:cs="Times New Roman"/>
          <w:color w:val="000000" w:themeColor="text1"/>
          <w:sz w:val="28"/>
          <w:szCs w:val="28"/>
        </w:rPr>
        <w:t xml:space="preserve">. </w:t>
      </w:r>
      <w:r w:rsidR="00A951C0">
        <w:rPr>
          <w:rFonts w:ascii="Times New Roman" w:hAnsi="Times New Roman" w:cs="Times New Roman"/>
          <w:color w:val="000000" w:themeColor="text1"/>
          <w:sz w:val="28"/>
          <w:szCs w:val="28"/>
        </w:rPr>
        <w:t>Р</w:t>
      </w:r>
      <w:r>
        <w:rPr>
          <w:rFonts w:ascii="Times New Roman" w:hAnsi="Times New Roman" w:cs="Times New Roman"/>
          <w:color w:val="000000" w:themeColor="text1"/>
          <w:sz w:val="28"/>
          <w:szCs w:val="28"/>
        </w:rPr>
        <w:t>исунок</w:t>
      </w:r>
      <w:r w:rsidR="00A951C0">
        <w:rPr>
          <w:rFonts w:ascii="Times New Roman" w:hAnsi="Times New Roman" w:cs="Times New Roman"/>
          <w:color w:val="000000" w:themeColor="text1"/>
          <w:sz w:val="28"/>
          <w:szCs w:val="28"/>
        </w:rPr>
        <w:t xml:space="preserve"> 5</w:t>
      </w:r>
      <w:r>
        <w:rPr>
          <w:rFonts w:ascii="Times New Roman" w:hAnsi="Times New Roman" w:cs="Times New Roman"/>
          <w:color w:val="000000" w:themeColor="text1"/>
          <w:sz w:val="28"/>
          <w:szCs w:val="28"/>
        </w:rPr>
        <w:t>).</w:t>
      </w:r>
    </w:p>
    <w:p w:rsidR="00A951C0" w:rsidRDefault="00A951C0" w:rsidP="00F02B23">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p>
    <w:p w:rsidR="00230E06" w:rsidRDefault="00D53B39" w:rsidP="00F02B23">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A951C0">
        <w:rPr>
          <w:rFonts w:ascii="Times New Roman" w:hAnsi="Times New Roman" w:cs="Times New Roman"/>
          <w:b/>
          <w:color w:val="000000" w:themeColor="text1"/>
          <w:sz w:val="28"/>
          <w:szCs w:val="28"/>
        </w:rPr>
        <w:t>Таблица</w:t>
      </w:r>
      <w:r w:rsidR="00915215">
        <w:rPr>
          <w:rFonts w:ascii="Times New Roman" w:hAnsi="Times New Roman" w:cs="Times New Roman"/>
          <w:b/>
          <w:color w:val="000000" w:themeColor="text1"/>
          <w:sz w:val="28"/>
          <w:szCs w:val="28"/>
        </w:rPr>
        <w:t xml:space="preserve"> 10</w:t>
      </w:r>
      <w:r w:rsidRPr="00A951C0">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 xml:space="preserve"> </w:t>
      </w:r>
      <w:r w:rsidRPr="00373955">
        <w:rPr>
          <w:rFonts w:ascii="Times New Roman" w:hAnsi="Times New Roman" w:cs="Times New Roman"/>
          <w:b/>
          <w:color w:val="000000" w:themeColor="text1"/>
          <w:sz w:val="28"/>
          <w:szCs w:val="28"/>
        </w:rPr>
        <w:t>Сравнительный анализ стоимости пролеченного случая по хирургическим типам заболеваний в стационаре</w:t>
      </w:r>
    </w:p>
    <w:tbl>
      <w:tblPr>
        <w:tblW w:w="9500" w:type="dxa"/>
        <w:tblInd w:w="98" w:type="dxa"/>
        <w:tblLook w:val="04A0" w:firstRow="1" w:lastRow="0" w:firstColumn="1" w:lastColumn="0" w:noHBand="0" w:noVBand="1"/>
      </w:tblPr>
      <w:tblGrid>
        <w:gridCol w:w="620"/>
        <w:gridCol w:w="3020"/>
        <w:gridCol w:w="1140"/>
        <w:gridCol w:w="1360"/>
        <w:gridCol w:w="1920"/>
        <w:gridCol w:w="1440"/>
      </w:tblGrid>
      <w:tr w:rsidR="002F049B" w:rsidRPr="002F049B" w:rsidTr="002F049B">
        <w:trPr>
          <w:trHeight w:val="765"/>
        </w:trPr>
        <w:tc>
          <w:tcPr>
            <w:tcW w:w="62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w:t>
            </w:r>
          </w:p>
        </w:tc>
        <w:tc>
          <w:tcPr>
            <w:tcW w:w="30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Тип случая</w:t>
            </w:r>
          </w:p>
        </w:tc>
        <w:tc>
          <w:tcPr>
            <w:tcW w:w="2500" w:type="dxa"/>
            <w:gridSpan w:val="2"/>
            <w:tcBorders>
              <w:top w:val="single" w:sz="8" w:space="0" w:color="auto"/>
              <w:left w:val="nil"/>
              <w:bottom w:val="single" w:sz="4" w:space="0" w:color="auto"/>
              <w:right w:val="single" w:sz="4" w:space="0" w:color="auto"/>
            </w:tcBorders>
            <w:shd w:val="clear" w:color="auto" w:fill="auto"/>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Стоимость 1 пролеченного случая</w:t>
            </w:r>
          </w:p>
        </w:tc>
        <w:tc>
          <w:tcPr>
            <w:tcW w:w="19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Стоимость 1 пролеченного случая для Казахстана по ППС в евро</w:t>
            </w:r>
          </w:p>
        </w:tc>
        <w:tc>
          <w:tcPr>
            <w:tcW w:w="1440"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Отклонение</w:t>
            </w:r>
          </w:p>
        </w:tc>
      </w:tr>
      <w:tr w:rsidR="002F049B" w:rsidRPr="002F049B" w:rsidTr="002F049B">
        <w:trPr>
          <w:trHeight w:val="750"/>
        </w:trPr>
        <w:tc>
          <w:tcPr>
            <w:tcW w:w="620" w:type="dxa"/>
            <w:vMerge/>
            <w:tcBorders>
              <w:top w:val="single" w:sz="8" w:space="0" w:color="auto"/>
              <w:left w:val="single" w:sz="8" w:space="0" w:color="auto"/>
              <w:bottom w:val="single" w:sz="8" w:space="0" w:color="000000"/>
              <w:right w:val="single" w:sz="4" w:space="0" w:color="auto"/>
            </w:tcBorders>
            <w:vAlign w:val="center"/>
            <w:hideMark/>
          </w:tcPr>
          <w:p w:rsidR="002F049B" w:rsidRPr="002F049B" w:rsidRDefault="002F049B" w:rsidP="002F049B">
            <w:pPr>
              <w:spacing w:after="0" w:line="240" w:lineRule="auto"/>
              <w:rPr>
                <w:rFonts w:ascii="Times New Roman" w:eastAsia="Times New Roman" w:hAnsi="Times New Roman" w:cs="Times New Roman"/>
                <w:b/>
                <w:bCs/>
                <w:color w:val="000000"/>
                <w:lang w:eastAsia="ru-RU"/>
              </w:rPr>
            </w:pPr>
          </w:p>
        </w:tc>
        <w:tc>
          <w:tcPr>
            <w:tcW w:w="3020" w:type="dxa"/>
            <w:vMerge/>
            <w:tcBorders>
              <w:top w:val="single" w:sz="8" w:space="0" w:color="auto"/>
              <w:left w:val="single" w:sz="4" w:space="0" w:color="auto"/>
              <w:bottom w:val="single" w:sz="8" w:space="0" w:color="000000"/>
              <w:right w:val="single" w:sz="4" w:space="0" w:color="auto"/>
            </w:tcBorders>
            <w:vAlign w:val="center"/>
            <w:hideMark/>
          </w:tcPr>
          <w:p w:rsidR="002F049B" w:rsidRPr="002F049B" w:rsidRDefault="002F049B" w:rsidP="002F049B">
            <w:pPr>
              <w:spacing w:after="0" w:line="240" w:lineRule="auto"/>
              <w:rPr>
                <w:rFonts w:ascii="Times New Roman" w:eastAsia="Times New Roman" w:hAnsi="Times New Roman" w:cs="Times New Roman"/>
                <w:b/>
                <w:bCs/>
                <w:color w:val="000000"/>
                <w:lang w:eastAsia="ru-RU"/>
              </w:rPr>
            </w:pPr>
          </w:p>
        </w:tc>
        <w:tc>
          <w:tcPr>
            <w:tcW w:w="1140" w:type="dxa"/>
            <w:tcBorders>
              <w:top w:val="nil"/>
              <w:left w:val="nil"/>
              <w:bottom w:val="single" w:sz="8" w:space="0" w:color="auto"/>
              <w:right w:val="single" w:sz="4" w:space="0" w:color="auto"/>
            </w:tcBorders>
            <w:shd w:val="clear" w:color="auto" w:fill="auto"/>
            <w:vAlign w:val="center"/>
            <w:hideMark/>
          </w:tcPr>
          <w:p w:rsidR="002F049B" w:rsidRPr="002F049B" w:rsidRDefault="002F049B" w:rsidP="002F049B">
            <w:pPr>
              <w:spacing w:after="0" w:line="240" w:lineRule="auto"/>
              <w:jc w:val="center"/>
              <w:rPr>
                <w:rFonts w:ascii="Times New Roman" w:eastAsia="Times New Roman" w:hAnsi="Times New Roman" w:cs="Times New Roman"/>
                <w:b/>
                <w:bCs/>
                <w:i/>
                <w:iCs/>
                <w:color w:val="000000"/>
                <w:lang w:eastAsia="ru-RU"/>
              </w:rPr>
            </w:pPr>
            <w:r w:rsidRPr="002F049B">
              <w:rPr>
                <w:rFonts w:ascii="Times New Roman" w:eastAsia="Times New Roman" w:hAnsi="Times New Roman" w:cs="Times New Roman"/>
                <w:b/>
                <w:bCs/>
                <w:i/>
                <w:iCs/>
                <w:color w:val="000000"/>
                <w:lang w:eastAsia="ru-RU"/>
              </w:rPr>
              <w:t>ОЭСР, евро</w:t>
            </w:r>
          </w:p>
        </w:tc>
        <w:tc>
          <w:tcPr>
            <w:tcW w:w="1360" w:type="dxa"/>
            <w:tcBorders>
              <w:top w:val="nil"/>
              <w:left w:val="nil"/>
              <w:bottom w:val="single" w:sz="8" w:space="0" w:color="auto"/>
              <w:right w:val="single" w:sz="4" w:space="0" w:color="auto"/>
            </w:tcBorders>
            <w:shd w:val="clear" w:color="auto" w:fill="auto"/>
            <w:vAlign w:val="center"/>
            <w:hideMark/>
          </w:tcPr>
          <w:p w:rsidR="002F049B" w:rsidRPr="002F049B" w:rsidRDefault="002F049B" w:rsidP="002F049B">
            <w:pPr>
              <w:spacing w:after="0" w:line="240" w:lineRule="auto"/>
              <w:jc w:val="center"/>
              <w:rPr>
                <w:rFonts w:ascii="Times New Roman" w:eastAsia="Times New Roman" w:hAnsi="Times New Roman" w:cs="Times New Roman"/>
                <w:b/>
                <w:bCs/>
                <w:i/>
                <w:iCs/>
                <w:color w:val="000000"/>
                <w:lang w:eastAsia="ru-RU"/>
              </w:rPr>
            </w:pPr>
            <w:r w:rsidRPr="002F049B">
              <w:rPr>
                <w:rFonts w:ascii="Times New Roman" w:eastAsia="Times New Roman" w:hAnsi="Times New Roman" w:cs="Times New Roman"/>
                <w:b/>
                <w:bCs/>
                <w:i/>
                <w:iCs/>
                <w:color w:val="000000"/>
                <w:lang w:eastAsia="ru-RU"/>
              </w:rPr>
              <w:t>Казахстан, тенге</w:t>
            </w:r>
          </w:p>
        </w:tc>
        <w:tc>
          <w:tcPr>
            <w:tcW w:w="1920" w:type="dxa"/>
            <w:vMerge/>
            <w:tcBorders>
              <w:top w:val="single" w:sz="8" w:space="0" w:color="auto"/>
              <w:left w:val="single" w:sz="4" w:space="0" w:color="auto"/>
              <w:bottom w:val="single" w:sz="8" w:space="0" w:color="000000"/>
              <w:right w:val="single" w:sz="4" w:space="0" w:color="auto"/>
            </w:tcBorders>
            <w:vAlign w:val="center"/>
            <w:hideMark/>
          </w:tcPr>
          <w:p w:rsidR="002F049B" w:rsidRPr="002F049B" w:rsidRDefault="002F049B" w:rsidP="002F049B">
            <w:pPr>
              <w:spacing w:after="0" w:line="240" w:lineRule="auto"/>
              <w:rPr>
                <w:rFonts w:ascii="Times New Roman" w:eastAsia="Times New Roman" w:hAnsi="Times New Roman" w:cs="Times New Roman"/>
                <w:b/>
                <w:bCs/>
                <w:color w:val="000000"/>
                <w:lang w:eastAsia="ru-RU"/>
              </w:rPr>
            </w:pPr>
          </w:p>
        </w:tc>
        <w:tc>
          <w:tcPr>
            <w:tcW w:w="1440" w:type="dxa"/>
            <w:vMerge/>
            <w:tcBorders>
              <w:top w:val="single" w:sz="8" w:space="0" w:color="auto"/>
              <w:left w:val="single" w:sz="4" w:space="0" w:color="auto"/>
              <w:bottom w:val="single" w:sz="8" w:space="0" w:color="000000"/>
              <w:right w:val="single" w:sz="8" w:space="0" w:color="auto"/>
            </w:tcBorders>
            <w:vAlign w:val="center"/>
            <w:hideMark/>
          </w:tcPr>
          <w:p w:rsidR="002F049B" w:rsidRPr="002F049B" w:rsidRDefault="002F049B" w:rsidP="002F049B">
            <w:pPr>
              <w:spacing w:after="0" w:line="240" w:lineRule="auto"/>
              <w:rPr>
                <w:rFonts w:ascii="Times New Roman" w:eastAsia="Times New Roman" w:hAnsi="Times New Roman" w:cs="Times New Roman"/>
                <w:b/>
                <w:bCs/>
                <w:color w:val="000000"/>
                <w:lang w:eastAsia="ru-RU"/>
              </w:rPr>
            </w:pP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S01 Аппендэктомия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3 223</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12 768</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6 415</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1,99</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S02 Кесарево сечение</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3 112</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18 338</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7 555</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2,43</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3</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S03 Холецистэктомия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2 697</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15 154</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6 392</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2,37</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4</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S04 Колоректальная резекция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7 134</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9 265</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8 130</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1,14</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5</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S05 Шунтирование коронарной артерии</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13 015</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80 541</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32 376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2,49</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lastRenderedPageBreak/>
              <w:t>6</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S06 Диссектомия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3 447</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20 223</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8 349</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2,42</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7</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S07 Эндартерэктомия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5 579</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36 099</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14 191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2,54</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8</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S08 Замена тазобедренного сустава: общая и частичная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6 701</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77 044</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22 722</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3,39</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9</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S09Гистерэктомия: брюшная или вагинальная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3 450</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60 285</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14 422</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4,18</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10</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S10 Замена коленного сустава</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6 505</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87 684</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23 883</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3,67</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11</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S11 Мастэктомия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3 795</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11 635</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6 645</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1,75</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12</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S12 Открытая простатэктомия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5 276</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8 762</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6 799</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1,29</w:t>
            </w:r>
          </w:p>
        </w:tc>
      </w:tr>
      <w:tr w:rsidR="002F049B" w:rsidRPr="002F049B" w:rsidTr="002F049B">
        <w:trPr>
          <w:trHeight w:val="9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13</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S13Чрескожная транслюминальная коронарная ангиопластика</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5 102</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98 824</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22 454</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4,40</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15</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S15 Ремонт паховой грыжи</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1 849</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13 005</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4 903</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2,65</w:t>
            </w:r>
          </w:p>
        </w:tc>
      </w:tr>
      <w:tr w:rsidR="002F049B" w:rsidRPr="002F049B" w:rsidTr="002F049B">
        <w:trPr>
          <w:trHeight w:val="3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16</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S16 Тиреоидэктомия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3 159</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15 551</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7 009</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2,22</w:t>
            </w:r>
          </w:p>
        </w:tc>
      </w:tr>
      <w:tr w:rsidR="002F049B" w:rsidRPr="002F049B" w:rsidTr="002F049B">
        <w:trPr>
          <w:trHeight w:val="9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17</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S17Трансуретральная резекция предстательной железы</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2 592</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18 830</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6 986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2,70</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18</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S18 Артроскопическое удаление мениска колена</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1 591</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17 793</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5 321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3,34</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19</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S19 Процедуры линз и катаракты</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1 688</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22 829</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6 207</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3,68</w:t>
            </w:r>
          </w:p>
        </w:tc>
      </w:tr>
      <w:tr w:rsidR="002F049B" w:rsidRPr="002F049B" w:rsidTr="002F049B">
        <w:trPr>
          <w:trHeight w:val="9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20</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S20 Лигирование и зачистка варикозных вен - нижняя конечность</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1 688</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16 486</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5 275</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3,13</w:t>
            </w:r>
          </w:p>
        </w:tc>
      </w:tr>
      <w:tr w:rsidR="002F049B" w:rsidRPr="002F049B" w:rsidTr="002F049B">
        <w:trPr>
          <w:trHeight w:val="600"/>
        </w:trPr>
        <w:tc>
          <w:tcPr>
            <w:tcW w:w="620" w:type="dxa"/>
            <w:tcBorders>
              <w:top w:val="nil"/>
              <w:left w:val="single" w:sz="4" w:space="0" w:color="002060"/>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21</w:t>
            </w:r>
          </w:p>
        </w:tc>
        <w:tc>
          <w:tcPr>
            <w:tcW w:w="3020" w:type="dxa"/>
            <w:tcBorders>
              <w:top w:val="nil"/>
              <w:left w:val="nil"/>
              <w:bottom w:val="single" w:sz="4" w:space="0" w:color="002060"/>
              <w:right w:val="single" w:sz="4" w:space="0" w:color="002060"/>
            </w:tcBorders>
            <w:shd w:val="clear" w:color="auto" w:fill="auto"/>
            <w:vAlign w:val="bottom"/>
            <w:hideMark/>
          </w:tcPr>
          <w:p w:rsidR="002F049B" w:rsidRPr="002F049B" w:rsidRDefault="002F049B" w:rsidP="002F049B">
            <w:pPr>
              <w:spacing w:after="0" w:line="240" w:lineRule="auto"/>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S21 Тонзилэктомия и / или аденоидэктомия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1 382</w:t>
            </w:r>
          </w:p>
        </w:tc>
        <w:tc>
          <w:tcPr>
            <w:tcW w:w="1360" w:type="dxa"/>
            <w:tcBorders>
              <w:top w:val="nil"/>
              <w:left w:val="nil"/>
              <w:bottom w:val="single" w:sz="4" w:space="0" w:color="002060"/>
              <w:right w:val="single" w:sz="4" w:space="0" w:color="002060"/>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12 337</w:t>
            </w:r>
          </w:p>
        </w:tc>
        <w:tc>
          <w:tcPr>
            <w:tcW w:w="1920" w:type="dxa"/>
            <w:tcBorders>
              <w:top w:val="nil"/>
              <w:left w:val="nil"/>
              <w:bottom w:val="single" w:sz="4" w:space="0" w:color="002060"/>
              <w:right w:val="nil"/>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b/>
                <w:bCs/>
                <w:color w:val="000000"/>
                <w:lang w:eastAsia="ru-RU"/>
              </w:rPr>
            </w:pPr>
            <w:r w:rsidRPr="002F049B">
              <w:rPr>
                <w:rFonts w:ascii="Times New Roman" w:eastAsia="Times New Roman" w:hAnsi="Times New Roman" w:cs="Times New Roman"/>
                <w:b/>
                <w:bCs/>
                <w:color w:val="000000"/>
                <w:lang w:eastAsia="ru-RU"/>
              </w:rPr>
              <w:t>4 129</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F049B" w:rsidRPr="002F049B" w:rsidRDefault="002F049B" w:rsidP="002F049B">
            <w:pPr>
              <w:spacing w:after="0" w:line="240" w:lineRule="auto"/>
              <w:jc w:val="center"/>
              <w:rPr>
                <w:rFonts w:ascii="Times New Roman" w:eastAsia="Times New Roman" w:hAnsi="Times New Roman" w:cs="Times New Roman"/>
                <w:color w:val="000000"/>
                <w:lang w:eastAsia="ru-RU"/>
              </w:rPr>
            </w:pPr>
            <w:r w:rsidRPr="002F049B">
              <w:rPr>
                <w:rFonts w:ascii="Times New Roman" w:eastAsia="Times New Roman" w:hAnsi="Times New Roman" w:cs="Times New Roman"/>
                <w:color w:val="000000"/>
                <w:lang w:eastAsia="ru-RU"/>
              </w:rPr>
              <w:t>2,99</w:t>
            </w:r>
          </w:p>
        </w:tc>
      </w:tr>
    </w:tbl>
    <w:p w:rsidR="00C77FEB" w:rsidRDefault="00C77FEB" w:rsidP="00F66DCE">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F66DCE" w:rsidRDefault="00F66DCE" w:rsidP="00F66DCE">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A951C0">
        <w:rPr>
          <w:rFonts w:ascii="Times New Roman" w:hAnsi="Times New Roman" w:cs="Times New Roman"/>
          <w:b/>
          <w:color w:val="000000" w:themeColor="text1"/>
          <w:sz w:val="28"/>
          <w:szCs w:val="28"/>
        </w:rPr>
        <w:t>Рисунок</w:t>
      </w:r>
      <w:r w:rsidR="00BC6912" w:rsidRPr="00A951C0">
        <w:rPr>
          <w:rFonts w:ascii="Times New Roman" w:hAnsi="Times New Roman" w:cs="Times New Roman"/>
          <w:b/>
          <w:color w:val="000000" w:themeColor="text1"/>
          <w:sz w:val="28"/>
          <w:szCs w:val="28"/>
        </w:rPr>
        <w:t xml:space="preserve"> </w:t>
      </w:r>
      <w:r w:rsidR="00A951C0" w:rsidRPr="00A951C0">
        <w:rPr>
          <w:rFonts w:ascii="Times New Roman" w:hAnsi="Times New Roman" w:cs="Times New Roman"/>
          <w:b/>
          <w:color w:val="000000" w:themeColor="text1"/>
          <w:sz w:val="28"/>
          <w:szCs w:val="28"/>
        </w:rPr>
        <w:t xml:space="preserve"> </w:t>
      </w:r>
      <w:r w:rsidR="00BC6912" w:rsidRPr="00A951C0">
        <w:rPr>
          <w:rFonts w:ascii="Times New Roman" w:hAnsi="Times New Roman" w:cs="Times New Roman"/>
          <w:b/>
          <w:color w:val="000000" w:themeColor="text1"/>
          <w:sz w:val="28"/>
          <w:szCs w:val="28"/>
        </w:rPr>
        <w:t>5</w:t>
      </w:r>
      <w:r w:rsidRPr="00A951C0">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 xml:space="preserve"> </w:t>
      </w:r>
      <w:r w:rsidRPr="00373955">
        <w:rPr>
          <w:rFonts w:ascii="Times New Roman" w:hAnsi="Times New Roman" w:cs="Times New Roman"/>
          <w:b/>
          <w:color w:val="000000" w:themeColor="text1"/>
          <w:sz w:val="28"/>
          <w:szCs w:val="28"/>
        </w:rPr>
        <w:t>Сравнительный анализ стоимости пролеченного случая по нехирургическим типам заболеваний в стационаре</w:t>
      </w:r>
    </w:p>
    <w:p w:rsidR="002F049B" w:rsidRPr="00A14096" w:rsidRDefault="00AA4143" w:rsidP="002F20A3">
      <w:pPr>
        <w:autoSpaceDE w:val="0"/>
        <w:autoSpaceDN w:val="0"/>
        <w:adjustRightInd w:val="0"/>
        <w:spacing w:after="0" w:line="240" w:lineRule="auto"/>
        <w:jc w:val="both"/>
        <w:rPr>
          <w:rFonts w:ascii="Times New Roman" w:hAnsi="Times New Roman" w:cs="Times New Roman"/>
          <w:color w:val="000000" w:themeColor="text1"/>
          <w:sz w:val="28"/>
          <w:szCs w:val="28"/>
        </w:rPr>
      </w:pPr>
      <w:r w:rsidRPr="00AA4143">
        <w:rPr>
          <w:rFonts w:ascii="Times New Roman" w:hAnsi="Times New Roman" w:cs="Times New Roman"/>
          <w:noProof/>
          <w:color w:val="000000" w:themeColor="text1"/>
          <w:sz w:val="28"/>
          <w:szCs w:val="28"/>
          <w:lang w:eastAsia="ru-RU"/>
        </w:rPr>
        <w:drawing>
          <wp:inline distT="0" distB="0" distL="0" distR="0">
            <wp:extent cx="5940425" cy="2384386"/>
            <wp:effectExtent l="0" t="0" r="0" b="0"/>
            <wp:docPr id="1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35542" w:rsidRDefault="00C77FEB" w:rsidP="00935542">
      <w:pPr>
        <w:spacing w:after="0" w:line="240" w:lineRule="auto"/>
        <w:ind w:firstLine="709"/>
        <w:jc w:val="both"/>
        <w:rPr>
          <w:rFonts w:ascii="Times New Roman" w:hAnsi="Times New Roman" w:cs="Times New Roman"/>
          <w:sz w:val="28"/>
          <w:szCs w:val="28"/>
        </w:rPr>
      </w:pPr>
      <w:r w:rsidRPr="00C77FEB">
        <w:rPr>
          <w:rFonts w:ascii="Times New Roman" w:hAnsi="Times New Roman" w:cs="Times New Roman"/>
          <w:sz w:val="28"/>
          <w:szCs w:val="28"/>
        </w:rPr>
        <w:t>Как и в</w:t>
      </w:r>
      <w:r w:rsidR="003B7D6E">
        <w:rPr>
          <w:rFonts w:ascii="Times New Roman" w:hAnsi="Times New Roman" w:cs="Times New Roman"/>
          <w:sz w:val="28"/>
          <w:szCs w:val="28"/>
        </w:rPr>
        <w:t xml:space="preserve"> </w:t>
      </w:r>
      <w:r w:rsidRPr="00C77FEB">
        <w:rPr>
          <w:rFonts w:ascii="Times New Roman" w:hAnsi="Times New Roman" w:cs="Times New Roman"/>
          <w:sz w:val="28"/>
          <w:szCs w:val="28"/>
        </w:rPr>
        <w:t xml:space="preserve">случае с </w:t>
      </w:r>
      <w:r w:rsidR="00706D6C">
        <w:rPr>
          <w:rFonts w:ascii="Times New Roman" w:hAnsi="Times New Roman" w:cs="Times New Roman"/>
          <w:sz w:val="28"/>
          <w:szCs w:val="28"/>
        </w:rPr>
        <w:t xml:space="preserve">нехирургическими типами случаев, по </w:t>
      </w:r>
      <w:r w:rsidR="00223ECD">
        <w:rPr>
          <w:rFonts w:ascii="Times New Roman" w:hAnsi="Times New Roman" w:cs="Times New Roman"/>
          <w:sz w:val="28"/>
          <w:szCs w:val="28"/>
        </w:rPr>
        <w:t>хирургическим наблюдается превышение уровня расходов для Казахстана по сравнению со странами ОЭСР.</w:t>
      </w:r>
      <w:r w:rsidR="00935542">
        <w:rPr>
          <w:rFonts w:ascii="Times New Roman" w:hAnsi="Times New Roman" w:cs="Times New Roman"/>
          <w:sz w:val="28"/>
          <w:szCs w:val="28"/>
        </w:rPr>
        <w:t xml:space="preserve"> </w:t>
      </w:r>
    </w:p>
    <w:p w:rsidR="006A3576" w:rsidRDefault="00935542" w:rsidP="009355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Наибольшее превышение стоимости пролеченного случая наблюдается по чрескожной транслюминальной коронарной ангиопластике в 4,4 раза (</w:t>
      </w:r>
      <w:r w:rsidRPr="00935542">
        <w:rPr>
          <w:rFonts w:ascii="Times New Roman" w:hAnsi="Times New Roman" w:cs="Times New Roman"/>
          <w:sz w:val="28"/>
          <w:szCs w:val="28"/>
        </w:rPr>
        <w:t>22</w:t>
      </w:r>
      <w:r>
        <w:rPr>
          <w:rFonts w:ascii="Times New Roman" w:hAnsi="Times New Roman" w:cs="Times New Roman"/>
          <w:sz w:val="28"/>
          <w:szCs w:val="28"/>
        </w:rPr>
        <w:t> </w:t>
      </w:r>
      <w:r w:rsidRPr="00935542">
        <w:rPr>
          <w:rFonts w:ascii="Times New Roman" w:hAnsi="Times New Roman" w:cs="Times New Roman"/>
          <w:sz w:val="28"/>
          <w:szCs w:val="28"/>
        </w:rPr>
        <w:t>454</w:t>
      </w:r>
      <w:r>
        <w:rPr>
          <w:rFonts w:ascii="Times New Roman" w:hAnsi="Times New Roman" w:cs="Times New Roman"/>
          <w:sz w:val="28"/>
          <w:szCs w:val="28"/>
        </w:rPr>
        <w:t xml:space="preserve"> евро по сравнению с 5 102 евро по ОЭСР- оценка ППС)</w:t>
      </w:r>
      <w:r w:rsidR="006A3576">
        <w:rPr>
          <w:rFonts w:ascii="Times New Roman" w:hAnsi="Times New Roman" w:cs="Times New Roman"/>
          <w:sz w:val="28"/>
          <w:szCs w:val="28"/>
        </w:rPr>
        <w:t xml:space="preserve"> и по гистерэктомии в 4,18 раза.</w:t>
      </w:r>
    </w:p>
    <w:p w:rsidR="006A3576" w:rsidRDefault="006A3576" w:rsidP="006A35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Замена тазобедренного сустава, з</w:t>
      </w:r>
      <w:r w:rsidRPr="006A3576">
        <w:rPr>
          <w:rFonts w:ascii="Times New Roman" w:hAnsi="Times New Roman" w:cs="Times New Roman"/>
          <w:sz w:val="28"/>
          <w:szCs w:val="28"/>
        </w:rPr>
        <w:t>амена коленного сустава</w:t>
      </w:r>
      <w:r>
        <w:rPr>
          <w:rFonts w:ascii="Times New Roman" w:hAnsi="Times New Roman" w:cs="Times New Roman"/>
          <w:sz w:val="28"/>
          <w:szCs w:val="28"/>
        </w:rPr>
        <w:t>, а</w:t>
      </w:r>
      <w:r w:rsidRPr="006A3576">
        <w:rPr>
          <w:rFonts w:ascii="Times New Roman" w:hAnsi="Times New Roman" w:cs="Times New Roman"/>
          <w:sz w:val="28"/>
          <w:szCs w:val="28"/>
        </w:rPr>
        <w:t>ртроскопическое удаление мениска колена</w:t>
      </w:r>
      <w:r>
        <w:rPr>
          <w:rFonts w:ascii="Times New Roman" w:hAnsi="Times New Roman" w:cs="Times New Roman"/>
          <w:sz w:val="28"/>
          <w:szCs w:val="28"/>
        </w:rPr>
        <w:t>, п</w:t>
      </w:r>
      <w:r w:rsidRPr="006A3576">
        <w:rPr>
          <w:rFonts w:ascii="Times New Roman" w:hAnsi="Times New Roman" w:cs="Times New Roman"/>
          <w:sz w:val="28"/>
          <w:szCs w:val="28"/>
        </w:rPr>
        <w:t>роцедуры линз и катаракты</w:t>
      </w:r>
      <w:r>
        <w:rPr>
          <w:rFonts w:ascii="Times New Roman" w:hAnsi="Times New Roman" w:cs="Times New Roman"/>
          <w:sz w:val="28"/>
          <w:szCs w:val="28"/>
        </w:rPr>
        <w:t>, л</w:t>
      </w:r>
      <w:r w:rsidRPr="006A3576">
        <w:rPr>
          <w:rFonts w:ascii="Times New Roman" w:hAnsi="Times New Roman" w:cs="Times New Roman"/>
          <w:sz w:val="28"/>
          <w:szCs w:val="28"/>
        </w:rPr>
        <w:t xml:space="preserve">игирование и зачистка варикозных вен </w:t>
      </w:r>
      <w:r>
        <w:rPr>
          <w:rFonts w:ascii="Times New Roman" w:hAnsi="Times New Roman" w:cs="Times New Roman"/>
          <w:sz w:val="28"/>
          <w:szCs w:val="28"/>
        </w:rPr>
        <w:t>превышают более чем в 3 раза стоимость лечения для казахстанского потребителя. Наименьшие различия для потребителей ощущаются по колоректальной резекции, здесь уровень цен выше для Казахстана в 1,14 раза.</w:t>
      </w:r>
    </w:p>
    <w:p w:rsidR="006A3576" w:rsidRDefault="006A3576" w:rsidP="006A357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Таким образом, представленные типы хирургических случаев за 2017 год в среднем оказались в 2,6 раза дороже для населения Казахстана, чем аналогичные услуги, оказанные в странах ОЭСР.</w:t>
      </w:r>
    </w:p>
    <w:p w:rsidR="00752571" w:rsidRDefault="005D57F4" w:rsidP="006A357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16A53">
        <w:rPr>
          <w:rFonts w:ascii="Times New Roman" w:hAnsi="Times New Roman" w:cs="Times New Roman"/>
          <w:b/>
          <w:color w:val="000000" w:themeColor="text1"/>
          <w:sz w:val="28"/>
          <w:szCs w:val="28"/>
        </w:rPr>
        <w:t>Ключевые выводы и практические рекомендации</w:t>
      </w:r>
      <w:r>
        <w:rPr>
          <w:rFonts w:ascii="Times New Roman" w:hAnsi="Times New Roman" w:cs="Times New Roman"/>
          <w:color w:val="000000" w:themeColor="text1"/>
          <w:sz w:val="28"/>
          <w:szCs w:val="28"/>
        </w:rPr>
        <w:t xml:space="preserve"> по данному отчету относительно проведенного сравнительного анализа расходов в здравоохранении </w:t>
      </w:r>
      <w:r w:rsidRPr="00516A53">
        <w:rPr>
          <w:rFonts w:ascii="Times New Roman" w:hAnsi="Times New Roman" w:cs="Times New Roman"/>
          <w:b/>
          <w:color w:val="000000" w:themeColor="text1"/>
          <w:sz w:val="28"/>
          <w:szCs w:val="28"/>
        </w:rPr>
        <w:t>представлены далее, в заключении к отчету</w:t>
      </w:r>
      <w:r>
        <w:rPr>
          <w:rFonts w:ascii="Times New Roman" w:hAnsi="Times New Roman" w:cs="Times New Roman"/>
          <w:color w:val="000000" w:themeColor="text1"/>
          <w:sz w:val="28"/>
          <w:szCs w:val="28"/>
        </w:rPr>
        <w:t>.</w:t>
      </w:r>
    </w:p>
    <w:p w:rsidR="003922C8" w:rsidRPr="00C77FEB" w:rsidRDefault="003922C8" w:rsidP="006A3576">
      <w:pPr>
        <w:spacing w:after="0" w:line="240" w:lineRule="auto"/>
        <w:ind w:firstLine="709"/>
        <w:jc w:val="both"/>
        <w:rPr>
          <w:rFonts w:ascii="Times New Roman" w:hAnsi="Times New Roman" w:cs="Times New Roman"/>
          <w:sz w:val="28"/>
          <w:szCs w:val="28"/>
        </w:rPr>
      </w:pPr>
      <w:r w:rsidRPr="00C77FEB">
        <w:rPr>
          <w:rFonts w:ascii="Times New Roman" w:hAnsi="Times New Roman" w:cs="Times New Roman"/>
          <w:sz w:val="28"/>
          <w:szCs w:val="28"/>
        </w:rPr>
        <w:br w:type="page"/>
      </w:r>
    </w:p>
    <w:p w:rsidR="004545DE" w:rsidRPr="004C6BF9" w:rsidRDefault="004545DE">
      <w:pPr>
        <w:rPr>
          <w:rFonts w:ascii="Times New Roman" w:hAnsi="Times New Roman" w:cs="Times New Roman"/>
          <w:b/>
          <w:sz w:val="28"/>
          <w:szCs w:val="28"/>
        </w:rPr>
      </w:pPr>
      <w:r w:rsidRPr="004C6BF9">
        <w:rPr>
          <w:rFonts w:ascii="Times New Roman" w:hAnsi="Times New Roman" w:cs="Times New Roman"/>
          <w:b/>
          <w:sz w:val="28"/>
          <w:szCs w:val="28"/>
        </w:rPr>
        <w:lastRenderedPageBreak/>
        <w:t>Заключение</w:t>
      </w:r>
    </w:p>
    <w:p w:rsidR="00BE5441" w:rsidRDefault="00BE5441" w:rsidP="00BE544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Проведенный сравнительный анализ стоимости одного пролеченного случая по представленной выборке в стационаре, сформированный посредством оценок по паритету покупательной способности, выявил ряд выводов и соответствующих рекомендаций.</w:t>
      </w:r>
    </w:p>
    <w:p w:rsidR="00BE5441" w:rsidRDefault="00BE5441" w:rsidP="00BE5441">
      <w:pPr>
        <w:pStyle w:val="a9"/>
        <w:numPr>
          <w:ilvl w:val="0"/>
          <w:numId w:val="4"/>
        </w:numPr>
        <w:autoSpaceDE w:val="0"/>
        <w:autoSpaceDN w:val="0"/>
        <w:adjustRightInd w:val="0"/>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Паритет покупательной способности, а также его оценка, примененная  к различным видам/типам расходов отражает </w:t>
      </w:r>
      <w:r w:rsidRPr="00752571">
        <w:rPr>
          <w:rFonts w:ascii="Times New Roman" w:hAnsi="Times New Roman" w:cs="Times New Roman"/>
          <w:b/>
          <w:color w:val="000000" w:themeColor="text1"/>
          <w:sz w:val="28"/>
          <w:szCs w:val="28"/>
        </w:rPr>
        <w:t>реальную покупательную способность национальной валюты</w:t>
      </w:r>
      <w:r>
        <w:rPr>
          <w:rFonts w:ascii="Times New Roman" w:hAnsi="Times New Roman" w:cs="Times New Roman"/>
          <w:color w:val="000000" w:themeColor="text1"/>
          <w:sz w:val="28"/>
          <w:szCs w:val="28"/>
        </w:rPr>
        <w:t xml:space="preserve"> </w:t>
      </w:r>
      <w:r w:rsidRPr="00752571">
        <w:rPr>
          <w:rFonts w:ascii="Times New Roman" w:hAnsi="Times New Roman" w:cs="Times New Roman"/>
          <w:b/>
          <w:color w:val="000000" w:themeColor="text1"/>
          <w:sz w:val="28"/>
          <w:szCs w:val="28"/>
        </w:rPr>
        <w:t>рассматриваемой страны</w:t>
      </w:r>
      <w:r>
        <w:rPr>
          <w:rFonts w:ascii="Times New Roman" w:hAnsi="Times New Roman" w:cs="Times New Roman"/>
          <w:color w:val="000000" w:themeColor="text1"/>
          <w:sz w:val="28"/>
          <w:szCs w:val="28"/>
        </w:rPr>
        <w:t xml:space="preserve"> по сравнению с базовой страной. Таким образом нивелируется влияние сложившихся обменных курсов между рассматриваемой страной и базовой, и </w:t>
      </w:r>
      <w:r w:rsidRPr="00BE5441">
        <w:rPr>
          <w:rFonts w:ascii="Times New Roman" w:hAnsi="Times New Roman" w:cs="Times New Roman"/>
          <w:b/>
          <w:color w:val="000000" w:themeColor="text1"/>
          <w:sz w:val="28"/>
          <w:szCs w:val="28"/>
        </w:rPr>
        <w:t>отражается реальная способность населения рассматриваемой страны в приобретении соответствующего товара/ типа услуги.</w:t>
      </w:r>
      <w:r w:rsidR="004C6BF9">
        <w:rPr>
          <w:rFonts w:ascii="Times New Roman" w:hAnsi="Times New Roman" w:cs="Times New Roman"/>
          <w:b/>
          <w:color w:val="000000" w:themeColor="text1"/>
          <w:sz w:val="28"/>
          <w:szCs w:val="28"/>
        </w:rPr>
        <w:t xml:space="preserve"> </w:t>
      </w:r>
    </w:p>
    <w:p w:rsidR="004C6BF9" w:rsidRDefault="004C6BF9" w:rsidP="00BE5441">
      <w:pPr>
        <w:pStyle w:val="a9"/>
        <w:numPr>
          <w:ilvl w:val="0"/>
          <w:numId w:val="4"/>
        </w:numPr>
        <w:autoSpaceDE w:val="0"/>
        <w:autoSpaceDN w:val="0"/>
        <w:adjustRightInd w:val="0"/>
        <w:spacing w:after="0" w:line="240" w:lineRule="auto"/>
        <w:jc w:val="both"/>
        <w:rPr>
          <w:rFonts w:ascii="Times New Roman" w:hAnsi="Times New Roman" w:cs="Times New Roman"/>
          <w:color w:val="000000" w:themeColor="text1"/>
          <w:sz w:val="28"/>
          <w:szCs w:val="28"/>
        </w:rPr>
      </w:pPr>
      <w:r w:rsidRPr="004C6BF9">
        <w:rPr>
          <w:rFonts w:ascii="Times New Roman" w:hAnsi="Times New Roman" w:cs="Times New Roman"/>
          <w:color w:val="000000" w:themeColor="text1"/>
          <w:sz w:val="28"/>
          <w:szCs w:val="28"/>
        </w:rPr>
        <w:t xml:space="preserve">Следовательно, </w:t>
      </w:r>
      <w:r w:rsidRPr="004C6BF9">
        <w:rPr>
          <w:rFonts w:ascii="Times New Roman" w:hAnsi="Times New Roman" w:cs="Times New Roman"/>
          <w:b/>
          <w:color w:val="000000" w:themeColor="text1"/>
          <w:sz w:val="28"/>
          <w:szCs w:val="28"/>
        </w:rPr>
        <w:t>на уровень паритета покупательной способности рассматриваемой страны будут влиять два ключевых фактора: уровень реальных доходов населения и уровень социального неравенства в стране,</w:t>
      </w:r>
      <w:r w:rsidRPr="004C6BF9">
        <w:rPr>
          <w:rFonts w:ascii="Times New Roman" w:hAnsi="Times New Roman" w:cs="Times New Roman"/>
          <w:color w:val="000000" w:themeColor="text1"/>
          <w:sz w:val="28"/>
          <w:szCs w:val="28"/>
        </w:rPr>
        <w:t xml:space="preserve"> при котором средняя оценка может оказаться необъективной для определенных групп населения, чьи доходы значительно ниже, чем средние по стране.</w:t>
      </w:r>
    </w:p>
    <w:p w:rsidR="004C6BF9" w:rsidRDefault="00F859C9" w:rsidP="00BE5441">
      <w:pPr>
        <w:pStyle w:val="a9"/>
        <w:numPr>
          <w:ilvl w:val="0"/>
          <w:numId w:val="4"/>
        </w:num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Сравнительный анализ стоимости одного пролеченного случая в Казахстане и ОЭСР, выраженный через паритет покупательной способности </w:t>
      </w:r>
      <w:r w:rsidRPr="00F859C9">
        <w:rPr>
          <w:rFonts w:ascii="Times New Roman" w:hAnsi="Times New Roman" w:cs="Times New Roman"/>
          <w:b/>
          <w:color w:val="000000" w:themeColor="text1"/>
          <w:sz w:val="28"/>
          <w:szCs w:val="28"/>
        </w:rPr>
        <w:t>показал уровень различия между реальными подушевыми доходами населения в Казахстане и странах ОЭСР</w:t>
      </w:r>
      <w:r>
        <w:rPr>
          <w:rFonts w:ascii="Times New Roman" w:hAnsi="Times New Roman" w:cs="Times New Roman"/>
          <w:color w:val="000000" w:themeColor="text1"/>
          <w:sz w:val="28"/>
          <w:szCs w:val="28"/>
        </w:rPr>
        <w:t xml:space="preserve">, а также степень воздействия стоимости типа заболевания на расходы потребителя. В среднем, для 1 резидента Казахстана нехирургические услуги дороже в 3,3 раза, хирургические – в 2,6 раза по сравнению с 1 резидентом в ОЭСР по аналогичному типу клинического случая. </w:t>
      </w:r>
    </w:p>
    <w:p w:rsidR="00F859C9" w:rsidRDefault="00F859C9" w:rsidP="00BE5441">
      <w:pPr>
        <w:pStyle w:val="a9"/>
        <w:numPr>
          <w:ilvl w:val="0"/>
          <w:numId w:val="4"/>
        </w:num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Следует понимать, что </w:t>
      </w:r>
      <w:r w:rsidRPr="007474A2">
        <w:rPr>
          <w:rFonts w:ascii="Times New Roman" w:hAnsi="Times New Roman" w:cs="Times New Roman"/>
          <w:b/>
          <w:color w:val="000000" w:themeColor="text1"/>
          <w:sz w:val="28"/>
          <w:szCs w:val="28"/>
        </w:rPr>
        <w:t>данное соотношение является прямым следствием</w:t>
      </w:r>
      <w:r>
        <w:rPr>
          <w:rFonts w:ascii="Times New Roman" w:hAnsi="Times New Roman" w:cs="Times New Roman"/>
          <w:color w:val="000000" w:themeColor="text1"/>
          <w:sz w:val="28"/>
          <w:szCs w:val="28"/>
        </w:rPr>
        <w:t xml:space="preserve"> не стоимости пролеченного случая, сформированной в соответствии со структурой расходов, а </w:t>
      </w:r>
      <w:r w:rsidRPr="007474A2">
        <w:rPr>
          <w:rFonts w:ascii="Times New Roman" w:hAnsi="Times New Roman" w:cs="Times New Roman"/>
          <w:b/>
          <w:color w:val="000000" w:themeColor="text1"/>
          <w:sz w:val="28"/>
          <w:szCs w:val="28"/>
        </w:rPr>
        <w:t xml:space="preserve">именно </w:t>
      </w:r>
      <w:r w:rsidR="007474A2" w:rsidRPr="007474A2">
        <w:rPr>
          <w:rFonts w:ascii="Times New Roman" w:hAnsi="Times New Roman" w:cs="Times New Roman"/>
          <w:b/>
          <w:color w:val="000000" w:themeColor="text1"/>
          <w:sz w:val="28"/>
          <w:szCs w:val="28"/>
        </w:rPr>
        <w:t xml:space="preserve">различиями в </w:t>
      </w:r>
      <w:r w:rsidRPr="007474A2">
        <w:rPr>
          <w:rFonts w:ascii="Times New Roman" w:hAnsi="Times New Roman" w:cs="Times New Roman"/>
          <w:b/>
          <w:color w:val="000000" w:themeColor="text1"/>
          <w:sz w:val="28"/>
          <w:szCs w:val="28"/>
        </w:rPr>
        <w:t>уровне жизни и реальны</w:t>
      </w:r>
      <w:r w:rsidR="007474A2" w:rsidRPr="007474A2">
        <w:rPr>
          <w:rFonts w:ascii="Times New Roman" w:hAnsi="Times New Roman" w:cs="Times New Roman"/>
          <w:b/>
          <w:color w:val="000000" w:themeColor="text1"/>
          <w:sz w:val="28"/>
          <w:szCs w:val="28"/>
        </w:rPr>
        <w:t>х</w:t>
      </w:r>
      <w:r w:rsidRPr="007474A2">
        <w:rPr>
          <w:rFonts w:ascii="Times New Roman" w:hAnsi="Times New Roman" w:cs="Times New Roman"/>
          <w:b/>
          <w:color w:val="000000" w:themeColor="text1"/>
          <w:sz w:val="28"/>
          <w:szCs w:val="28"/>
        </w:rPr>
        <w:t xml:space="preserve"> дохода</w:t>
      </w:r>
      <w:r w:rsidR="007474A2" w:rsidRPr="007474A2">
        <w:rPr>
          <w:rFonts w:ascii="Times New Roman" w:hAnsi="Times New Roman" w:cs="Times New Roman"/>
          <w:b/>
          <w:color w:val="000000" w:themeColor="text1"/>
          <w:sz w:val="28"/>
          <w:szCs w:val="28"/>
        </w:rPr>
        <w:t>х</w:t>
      </w:r>
      <w:r w:rsidRPr="007474A2">
        <w:rPr>
          <w:rFonts w:ascii="Times New Roman" w:hAnsi="Times New Roman" w:cs="Times New Roman"/>
          <w:b/>
          <w:color w:val="000000" w:themeColor="text1"/>
          <w:sz w:val="28"/>
          <w:szCs w:val="28"/>
        </w:rPr>
        <w:t xml:space="preserve"> населения Казахстана и ОЭСР</w:t>
      </w:r>
      <w:r>
        <w:rPr>
          <w:rFonts w:ascii="Times New Roman" w:hAnsi="Times New Roman" w:cs="Times New Roman"/>
          <w:color w:val="000000" w:themeColor="text1"/>
          <w:sz w:val="28"/>
          <w:szCs w:val="28"/>
        </w:rPr>
        <w:t>.</w:t>
      </w:r>
      <w:r w:rsidR="0012419D">
        <w:rPr>
          <w:rFonts w:ascii="Times New Roman" w:hAnsi="Times New Roman" w:cs="Times New Roman"/>
          <w:color w:val="000000" w:themeColor="text1"/>
          <w:sz w:val="28"/>
          <w:szCs w:val="28"/>
        </w:rPr>
        <w:t xml:space="preserve"> Соответственно, в качестве рекомендации нельзя указывать снижение стоимости пролеченного случая, поскольку в данном случае </w:t>
      </w:r>
      <w:r w:rsidR="0012419D" w:rsidRPr="0012419D">
        <w:rPr>
          <w:rFonts w:ascii="Times New Roman" w:hAnsi="Times New Roman" w:cs="Times New Roman"/>
          <w:b/>
          <w:color w:val="000000" w:themeColor="text1"/>
          <w:sz w:val="28"/>
          <w:szCs w:val="28"/>
        </w:rPr>
        <w:t>сближение по расходам со странами</w:t>
      </w:r>
      <w:r w:rsidR="0012419D">
        <w:rPr>
          <w:rFonts w:ascii="Times New Roman" w:hAnsi="Times New Roman" w:cs="Times New Roman"/>
          <w:color w:val="000000" w:themeColor="text1"/>
          <w:sz w:val="28"/>
          <w:szCs w:val="28"/>
        </w:rPr>
        <w:t xml:space="preserve"> </w:t>
      </w:r>
      <w:r w:rsidR="0012419D" w:rsidRPr="0012419D">
        <w:rPr>
          <w:rFonts w:ascii="Times New Roman" w:hAnsi="Times New Roman" w:cs="Times New Roman"/>
          <w:b/>
          <w:color w:val="000000" w:themeColor="text1"/>
          <w:sz w:val="28"/>
          <w:szCs w:val="28"/>
        </w:rPr>
        <w:t>ОЭСР произойдет только после роста реальных доходов населения в Казахстане</w:t>
      </w:r>
      <w:r w:rsidR="0012419D">
        <w:rPr>
          <w:rFonts w:ascii="Times New Roman" w:hAnsi="Times New Roman" w:cs="Times New Roman"/>
          <w:color w:val="000000" w:themeColor="text1"/>
          <w:sz w:val="28"/>
          <w:szCs w:val="28"/>
        </w:rPr>
        <w:t xml:space="preserve">. </w:t>
      </w:r>
    </w:p>
    <w:p w:rsidR="00D121D4" w:rsidRDefault="00D121D4" w:rsidP="00BE5441">
      <w:pPr>
        <w:pStyle w:val="a9"/>
        <w:numPr>
          <w:ilvl w:val="0"/>
          <w:numId w:val="4"/>
        </w:num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Имеет смысл проводить сравнительный анализ в отношении структуры затрат по типам случаев, для выявления различий в стоимости лечения.</w:t>
      </w:r>
    </w:p>
    <w:p w:rsidR="00D121D4" w:rsidRPr="00D121D4" w:rsidRDefault="00D121D4" w:rsidP="00D121D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целом, оценка по паритету покупательной спосбности как показал проведенный анализ, дает развернутую картину влияния уровня реальных доходов населения на понесенные ими расходы в отрасли здравоохранения.</w:t>
      </w:r>
    </w:p>
    <w:p w:rsidR="004545DE" w:rsidRDefault="004545DE">
      <w:pPr>
        <w:rPr>
          <w:rFonts w:ascii="Arial" w:hAnsi="Arial" w:cs="Arial"/>
          <w:b/>
          <w:sz w:val="28"/>
          <w:szCs w:val="28"/>
        </w:rPr>
      </w:pPr>
      <w:r>
        <w:rPr>
          <w:rFonts w:ascii="Arial" w:hAnsi="Arial" w:cs="Arial"/>
          <w:b/>
          <w:sz w:val="28"/>
          <w:szCs w:val="28"/>
        </w:rPr>
        <w:br w:type="page"/>
      </w:r>
    </w:p>
    <w:p w:rsidR="003A73C3" w:rsidRDefault="003A73C3">
      <w:pPr>
        <w:rPr>
          <w:rFonts w:ascii="Times New Roman" w:hAnsi="Times New Roman" w:cs="Times New Roman"/>
          <w:b/>
          <w:sz w:val="28"/>
          <w:szCs w:val="28"/>
        </w:rPr>
      </w:pPr>
      <w:r>
        <w:rPr>
          <w:rFonts w:ascii="Times New Roman" w:hAnsi="Times New Roman" w:cs="Times New Roman"/>
          <w:b/>
          <w:sz w:val="28"/>
          <w:szCs w:val="28"/>
        </w:rPr>
        <w:lastRenderedPageBreak/>
        <w:t>Использованная литература</w:t>
      </w:r>
    </w:p>
    <w:p w:rsidR="003A73C3" w:rsidRDefault="003A73C3" w:rsidP="00602FE9">
      <w:pPr>
        <w:pStyle w:val="a9"/>
        <w:numPr>
          <w:ilvl w:val="0"/>
          <w:numId w:val="6"/>
        </w:numPr>
        <w:jc w:val="both"/>
        <w:rPr>
          <w:rFonts w:ascii="Times New Roman" w:hAnsi="Times New Roman" w:cs="Times New Roman"/>
          <w:sz w:val="28"/>
          <w:szCs w:val="28"/>
          <w:lang w:val="en-US"/>
        </w:rPr>
      </w:pPr>
      <w:r w:rsidRPr="003A73C3">
        <w:rPr>
          <w:rFonts w:ascii="Times New Roman" w:hAnsi="Times New Roman" w:cs="Times New Roman"/>
          <w:sz w:val="28"/>
          <w:szCs w:val="28"/>
          <w:lang w:val="en-US"/>
        </w:rPr>
        <w:t>Luca Lorenzoni, Francette Koechlin.</w:t>
      </w:r>
      <w:r w:rsidRPr="003A73C3">
        <w:rPr>
          <w:rFonts w:ascii="Arial" w:hAnsi="Arial" w:cs="Arial"/>
          <w:b/>
          <w:sz w:val="28"/>
          <w:szCs w:val="28"/>
          <w:lang w:val="en-US"/>
        </w:rPr>
        <w:t xml:space="preserve"> </w:t>
      </w:r>
      <w:r w:rsidRPr="003A73C3">
        <w:rPr>
          <w:rFonts w:ascii="Times New Roman" w:hAnsi="Times New Roman" w:cs="Times New Roman"/>
          <w:sz w:val="28"/>
          <w:szCs w:val="28"/>
          <w:lang w:val="en-US"/>
        </w:rPr>
        <w:t>International Comparisons of Health Prices and Volumes: New Findings. OECD. May, 2017</w:t>
      </w:r>
    </w:p>
    <w:p w:rsidR="003A73C3" w:rsidRDefault="003A73C3" w:rsidP="00602FE9">
      <w:pPr>
        <w:pStyle w:val="a9"/>
        <w:numPr>
          <w:ilvl w:val="0"/>
          <w:numId w:val="6"/>
        </w:numPr>
        <w:jc w:val="both"/>
        <w:rPr>
          <w:rFonts w:ascii="Times New Roman" w:hAnsi="Times New Roman" w:cs="Times New Roman"/>
          <w:sz w:val="28"/>
          <w:szCs w:val="28"/>
          <w:lang w:val="en-US"/>
        </w:rPr>
      </w:pPr>
      <w:r w:rsidRPr="003A73C3">
        <w:rPr>
          <w:rFonts w:ascii="Times New Roman" w:hAnsi="Times New Roman" w:cs="Times New Roman"/>
          <w:sz w:val="28"/>
          <w:szCs w:val="28"/>
          <w:lang w:val="en-US"/>
        </w:rPr>
        <w:t xml:space="preserve">Lorenzoni, L. and T. Roubal (2016), “International Comparison of South African Private Hospital Price Levels”, OECD Health Working Papers, No. 85, OECD Publishing, Paris. </w:t>
      </w:r>
      <w:hyperlink r:id="rId19" w:history="1">
        <w:r w:rsidRPr="003A73C3">
          <w:rPr>
            <w:rStyle w:val="af"/>
            <w:rFonts w:ascii="Times New Roman" w:hAnsi="Times New Roman" w:cs="Times New Roman"/>
            <w:sz w:val="28"/>
            <w:szCs w:val="28"/>
            <w:lang w:val="en-US"/>
          </w:rPr>
          <w:t>http://dx.doi.org/10.1787/5jrrxrzn24wl-en</w:t>
        </w:r>
      </w:hyperlink>
      <w:r w:rsidRPr="003A73C3">
        <w:rPr>
          <w:rFonts w:ascii="Times New Roman" w:hAnsi="Times New Roman" w:cs="Times New Roman"/>
          <w:sz w:val="28"/>
          <w:szCs w:val="28"/>
          <w:lang w:val="en-US"/>
        </w:rPr>
        <w:t xml:space="preserve"> </w:t>
      </w:r>
    </w:p>
    <w:p w:rsidR="003A73C3" w:rsidRDefault="003A73C3" w:rsidP="00602FE9">
      <w:pPr>
        <w:pStyle w:val="a9"/>
        <w:numPr>
          <w:ilvl w:val="0"/>
          <w:numId w:val="6"/>
        </w:numPr>
        <w:jc w:val="both"/>
        <w:rPr>
          <w:rFonts w:ascii="Times New Roman" w:hAnsi="Times New Roman" w:cs="Times New Roman"/>
          <w:sz w:val="28"/>
          <w:szCs w:val="28"/>
          <w:lang w:val="en-US"/>
        </w:rPr>
      </w:pPr>
      <w:r w:rsidRPr="003A73C3">
        <w:rPr>
          <w:rFonts w:ascii="Times New Roman" w:hAnsi="Times New Roman" w:cs="Times New Roman"/>
          <w:sz w:val="28"/>
          <w:szCs w:val="28"/>
          <w:lang w:val="en-US"/>
        </w:rPr>
        <w:t>Eurostat-OECD Methodological Manual on</w:t>
      </w:r>
      <w:r>
        <w:rPr>
          <w:rFonts w:ascii="Times New Roman" w:hAnsi="Times New Roman" w:cs="Times New Roman"/>
          <w:sz w:val="28"/>
          <w:szCs w:val="28"/>
          <w:lang w:val="en-US"/>
        </w:rPr>
        <w:t xml:space="preserve"> </w:t>
      </w:r>
      <w:r w:rsidRPr="003A73C3">
        <w:rPr>
          <w:rFonts w:ascii="Times New Roman" w:hAnsi="Times New Roman" w:cs="Times New Roman"/>
          <w:sz w:val="28"/>
          <w:szCs w:val="28"/>
          <w:lang w:val="en-US"/>
        </w:rPr>
        <w:t>Purchasing Power Parities</w:t>
      </w:r>
      <w:r>
        <w:rPr>
          <w:rFonts w:ascii="Times New Roman" w:hAnsi="Times New Roman" w:cs="Times New Roman"/>
          <w:sz w:val="28"/>
          <w:szCs w:val="28"/>
          <w:lang w:val="en-US"/>
        </w:rPr>
        <w:t>/ OECD, 2012.</w:t>
      </w:r>
    </w:p>
    <w:p w:rsidR="00896FCE" w:rsidRPr="00014D03" w:rsidRDefault="00896FCE" w:rsidP="00602FE9">
      <w:pPr>
        <w:jc w:val="both"/>
        <w:rPr>
          <w:rFonts w:ascii="Times New Roman" w:hAnsi="Times New Roman" w:cs="Times New Roman"/>
          <w:b/>
          <w:sz w:val="28"/>
          <w:szCs w:val="28"/>
        </w:rPr>
      </w:pPr>
      <w:r w:rsidRPr="00014D03">
        <w:rPr>
          <w:rFonts w:ascii="Times New Roman" w:hAnsi="Times New Roman" w:cs="Times New Roman"/>
          <w:b/>
          <w:sz w:val="28"/>
          <w:szCs w:val="28"/>
        </w:rPr>
        <w:t>Электронные ресурсы</w:t>
      </w:r>
    </w:p>
    <w:p w:rsidR="00896FCE" w:rsidRPr="00467990" w:rsidRDefault="00467990" w:rsidP="00602FE9">
      <w:pPr>
        <w:pStyle w:val="a9"/>
        <w:numPr>
          <w:ilvl w:val="0"/>
          <w:numId w:val="7"/>
        </w:numPr>
        <w:jc w:val="both"/>
        <w:rPr>
          <w:rFonts w:ascii="Times New Roman" w:hAnsi="Times New Roman" w:cs="Times New Roman"/>
          <w:sz w:val="28"/>
          <w:szCs w:val="28"/>
        </w:rPr>
      </w:pPr>
      <w:r>
        <w:rPr>
          <w:rFonts w:ascii="Times New Roman" w:hAnsi="Times New Roman" w:cs="Times New Roman"/>
          <w:sz w:val="28"/>
          <w:szCs w:val="28"/>
        </w:rPr>
        <w:t xml:space="preserve">Электронный регистр стационарных больных </w:t>
      </w:r>
      <w:hyperlink r:id="rId20" w:history="1">
        <w:r w:rsidRPr="00467990">
          <w:rPr>
            <w:rStyle w:val="af"/>
            <w:rFonts w:ascii="Times New Roman" w:hAnsi="Times New Roman" w:cs="Times New Roman"/>
            <w:sz w:val="28"/>
            <w:szCs w:val="18"/>
            <w:shd w:val="clear" w:color="auto" w:fill="FFFFFF"/>
          </w:rPr>
          <w:t>https://ersb.eisz.kz/</w:t>
        </w:r>
      </w:hyperlink>
      <w:r w:rsidRPr="00467990">
        <w:rPr>
          <w:rFonts w:ascii="Arial" w:hAnsi="Arial" w:cs="Arial"/>
          <w:color w:val="006621"/>
          <w:sz w:val="28"/>
          <w:szCs w:val="18"/>
          <w:shd w:val="clear" w:color="auto" w:fill="FFFFFF"/>
        </w:rPr>
        <w:t xml:space="preserve"> </w:t>
      </w:r>
    </w:p>
    <w:p w:rsidR="00467990" w:rsidRPr="00467990" w:rsidRDefault="00467990" w:rsidP="00602FE9">
      <w:pPr>
        <w:pStyle w:val="a9"/>
        <w:numPr>
          <w:ilvl w:val="0"/>
          <w:numId w:val="7"/>
        </w:numPr>
        <w:jc w:val="both"/>
        <w:rPr>
          <w:rFonts w:ascii="Times New Roman" w:hAnsi="Times New Roman" w:cs="Times New Roman"/>
          <w:sz w:val="28"/>
          <w:szCs w:val="28"/>
        </w:rPr>
      </w:pPr>
      <w:r w:rsidRPr="00467990">
        <w:rPr>
          <w:rFonts w:ascii="Times New Roman" w:hAnsi="Times New Roman" w:cs="Times New Roman"/>
          <w:sz w:val="28"/>
          <w:szCs w:val="18"/>
          <w:shd w:val="clear" w:color="auto" w:fill="FFFFFF"/>
        </w:rPr>
        <w:t>Комитет по статистике МНЭ РК</w:t>
      </w:r>
      <w:r>
        <w:rPr>
          <w:rFonts w:ascii="Times New Roman" w:hAnsi="Times New Roman" w:cs="Times New Roman"/>
          <w:sz w:val="28"/>
          <w:szCs w:val="18"/>
          <w:shd w:val="clear" w:color="auto" w:fill="FFFFFF"/>
        </w:rPr>
        <w:t xml:space="preserve"> </w:t>
      </w:r>
      <w:hyperlink r:id="rId21" w:history="1">
        <w:r w:rsidRPr="005B5371">
          <w:rPr>
            <w:rStyle w:val="af"/>
            <w:rFonts w:ascii="Times New Roman" w:hAnsi="Times New Roman" w:cs="Times New Roman"/>
            <w:sz w:val="28"/>
            <w:szCs w:val="18"/>
            <w:shd w:val="clear" w:color="auto" w:fill="FFFFFF"/>
          </w:rPr>
          <w:t>https://stat.gov.kz</w:t>
        </w:r>
      </w:hyperlink>
      <w:r>
        <w:rPr>
          <w:rFonts w:ascii="Times New Roman" w:hAnsi="Times New Roman" w:cs="Times New Roman"/>
          <w:sz w:val="28"/>
          <w:szCs w:val="18"/>
          <w:shd w:val="clear" w:color="auto" w:fill="FFFFFF"/>
        </w:rPr>
        <w:t xml:space="preserve"> </w:t>
      </w:r>
    </w:p>
    <w:p w:rsidR="00467990" w:rsidRPr="00467990" w:rsidRDefault="00467990" w:rsidP="00602FE9">
      <w:pPr>
        <w:pStyle w:val="a9"/>
        <w:numPr>
          <w:ilvl w:val="0"/>
          <w:numId w:val="7"/>
        </w:numPr>
        <w:jc w:val="both"/>
        <w:rPr>
          <w:rFonts w:ascii="Times New Roman" w:hAnsi="Times New Roman" w:cs="Times New Roman"/>
          <w:sz w:val="28"/>
          <w:szCs w:val="28"/>
        </w:rPr>
      </w:pPr>
      <w:r>
        <w:rPr>
          <w:rFonts w:ascii="Times New Roman" w:hAnsi="Times New Roman" w:cs="Times New Roman"/>
          <w:sz w:val="28"/>
          <w:szCs w:val="28"/>
        </w:rPr>
        <w:t xml:space="preserve">Статистические базы данных ОЭСР </w:t>
      </w:r>
      <w:hyperlink r:id="rId22" w:history="1">
        <w:r w:rsidRPr="005B5371">
          <w:rPr>
            <w:rStyle w:val="af"/>
            <w:rFonts w:ascii="Times New Roman" w:hAnsi="Times New Roman" w:cs="Times New Roman"/>
            <w:sz w:val="28"/>
            <w:szCs w:val="28"/>
          </w:rPr>
          <w:t>https://stats.oecd.org/</w:t>
        </w:r>
      </w:hyperlink>
      <w:r>
        <w:rPr>
          <w:rFonts w:ascii="Times New Roman" w:hAnsi="Times New Roman" w:cs="Times New Roman"/>
          <w:sz w:val="28"/>
          <w:szCs w:val="28"/>
        </w:rPr>
        <w:t xml:space="preserve"> ; </w:t>
      </w:r>
      <w:hyperlink r:id="rId23" w:history="1">
        <w:r w:rsidRPr="005B5371">
          <w:rPr>
            <w:rStyle w:val="af"/>
            <w:rFonts w:ascii="Times New Roman" w:hAnsi="Times New Roman" w:cs="Times New Roman"/>
            <w:sz w:val="28"/>
            <w:szCs w:val="28"/>
          </w:rPr>
          <w:t>https://data.oecd.org/</w:t>
        </w:r>
      </w:hyperlink>
      <w:r>
        <w:rPr>
          <w:rFonts w:ascii="Times New Roman" w:hAnsi="Times New Roman" w:cs="Times New Roman"/>
          <w:sz w:val="28"/>
          <w:szCs w:val="28"/>
        </w:rPr>
        <w:t xml:space="preserve"> </w:t>
      </w:r>
    </w:p>
    <w:p w:rsidR="003A73C3" w:rsidRPr="00467990" w:rsidRDefault="003A73C3" w:rsidP="00602FE9">
      <w:pPr>
        <w:jc w:val="both"/>
        <w:rPr>
          <w:rFonts w:ascii="Arial" w:hAnsi="Arial" w:cs="Arial"/>
          <w:b/>
          <w:sz w:val="28"/>
          <w:szCs w:val="28"/>
        </w:rPr>
      </w:pPr>
      <w:r w:rsidRPr="00467990">
        <w:rPr>
          <w:rFonts w:ascii="Arial" w:hAnsi="Arial" w:cs="Arial"/>
          <w:b/>
          <w:sz w:val="28"/>
          <w:szCs w:val="28"/>
        </w:rPr>
        <w:br w:type="page"/>
      </w:r>
    </w:p>
    <w:p w:rsidR="007B6F55" w:rsidRDefault="00CB07B8" w:rsidP="007B6F55">
      <w:pPr>
        <w:jc w:val="right"/>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Приложение 1</w:t>
      </w:r>
    </w:p>
    <w:p w:rsidR="007B6F55" w:rsidRDefault="007B6F55" w:rsidP="007B6F55">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Данные по пролеченным нехирургическим случаям для государственного сектора, сформированных для сопоставления с ОЭСР</w:t>
      </w:r>
    </w:p>
    <w:tbl>
      <w:tblPr>
        <w:tblW w:w="9356" w:type="dxa"/>
        <w:tblInd w:w="87" w:type="dxa"/>
        <w:tblLook w:val="04A0" w:firstRow="1" w:lastRow="0" w:firstColumn="1" w:lastColumn="0" w:noHBand="0" w:noVBand="1"/>
      </w:tblPr>
      <w:tblGrid>
        <w:gridCol w:w="736"/>
        <w:gridCol w:w="960"/>
        <w:gridCol w:w="3145"/>
        <w:gridCol w:w="1460"/>
        <w:gridCol w:w="1517"/>
        <w:gridCol w:w="1538"/>
      </w:tblGrid>
      <w:tr w:rsidR="00D400D1" w:rsidRPr="00D400D1" w:rsidTr="00D400D1">
        <w:trPr>
          <w:trHeight w:val="990"/>
        </w:trPr>
        <w:tc>
          <w:tcPr>
            <w:tcW w:w="736" w:type="dxa"/>
            <w:tcBorders>
              <w:top w:val="single" w:sz="4" w:space="0" w:color="auto"/>
              <w:left w:val="single" w:sz="4" w:space="0" w:color="auto"/>
              <w:bottom w:val="single" w:sz="4" w:space="0" w:color="auto"/>
              <w:right w:val="single" w:sz="4" w:space="0" w:color="auto"/>
            </w:tcBorders>
            <w:shd w:val="clear" w:color="DEEBF6" w:fill="DEEBF6"/>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Код ОЭСР</w:t>
            </w:r>
          </w:p>
        </w:tc>
        <w:tc>
          <w:tcPr>
            <w:tcW w:w="960" w:type="dxa"/>
            <w:tcBorders>
              <w:top w:val="single" w:sz="4" w:space="0" w:color="auto"/>
              <w:left w:val="nil"/>
              <w:bottom w:val="single" w:sz="4" w:space="0" w:color="auto"/>
              <w:right w:val="single" w:sz="4" w:space="0" w:color="auto"/>
            </w:tcBorders>
            <w:shd w:val="clear" w:color="DEEBF6" w:fill="DEEBF6"/>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Код по МКБ-10</w:t>
            </w:r>
          </w:p>
        </w:tc>
        <w:tc>
          <w:tcPr>
            <w:tcW w:w="3145" w:type="dxa"/>
            <w:tcBorders>
              <w:top w:val="single" w:sz="4" w:space="0" w:color="auto"/>
              <w:left w:val="nil"/>
              <w:bottom w:val="single" w:sz="4" w:space="0" w:color="auto"/>
              <w:right w:val="single" w:sz="4" w:space="0" w:color="auto"/>
            </w:tcBorders>
            <w:shd w:val="clear" w:color="DEEBF6" w:fill="DEEBF6"/>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Наименование нозологии</w:t>
            </w:r>
          </w:p>
        </w:tc>
        <w:tc>
          <w:tcPr>
            <w:tcW w:w="1460" w:type="dxa"/>
            <w:tcBorders>
              <w:top w:val="single" w:sz="4" w:space="0" w:color="auto"/>
              <w:left w:val="nil"/>
              <w:bottom w:val="single" w:sz="4" w:space="0" w:color="auto"/>
              <w:right w:val="single" w:sz="4" w:space="0" w:color="auto"/>
            </w:tcBorders>
            <w:shd w:val="clear" w:color="DEEBF6" w:fill="DEEBF6"/>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Количество случаев</w:t>
            </w:r>
          </w:p>
        </w:tc>
        <w:tc>
          <w:tcPr>
            <w:tcW w:w="1517" w:type="dxa"/>
            <w:tcBorders>
              <w:top w:val="single" w:sz="4" w:space="0" w:color="auto"/>
              <w:left w:val="nil"/>
              <w:bottom w:val="single" w:sz="4" w:space="0" w:color="auto"/>
              <w:right w:val="single" w:sz="4" w:space="0" w:color="auto"/>
            </w:tcBorders>
            <w:shd w:val="clear" w:color="DEEBF6" w:fill="DEEBF6"/>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Средняя длительность лечения</w:t>
            </w:r>
            <w:r>
              <w:rPr>
                <w:rFonts w:ascii="Arial Narrow" w:eastAsia="Times New Roman" w:hAnsi="Arial Narrow" w:cs="Calibri"/>
                <w:b/>
                <w:bCs/>
                <w:color w:val="000000"/>
                <w:lang w:eastAsia="ru-RU"/>
              </w:rPr>
              <w:t>, дней</w:t>
            </w:r>
          </w:p>
        </w:tc>
        <w:tc>
          <w:tcPr>
            <w:tcW w:w="1538" w:type="dxa"/>
            <w:tcBorders>
              <w:top w:val="single" w:sz="4" w:space="0" w:color="auto"/>
              <w:left w:val="nil"/>
              <w:bottom w:val="single" w:sz="4" w:space="0" w:color="auto"/>
              <w:right w:val="single" w:sz="4" w:space="0" w:color="auto"/>
            </w:tcBorders>
            <w:shd w:val="clear" w:color="DEEBF6" w:fill="DEEBF6"/>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Предъявлено к оплате</w:t>
            </w:r>
            <w:r>
              <w:rPr>
                <w:rFonts w:ascii="Arial Narrow" w:eastAsia="Times New Roman" w:hAnsi="Arial Narrow" w:cs="Calibri"/>
                <w:b/>
                <w:bCs/>
                <w:color w:val="000000"/>
                <w:lang w:eastAsia="ru-RU"/>
              </w:rPr>
              <w:t>, тенге</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M05</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C34.0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Злокачественное новообразование главного бронха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2 327</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549 457 375</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M05</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C34.1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Злокачественное новообразование верхней доли, бронхов или легкого</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3 199</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11</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851 505 730</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M05</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C34.2</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Злокачественное новообразование средней доли, бронхов или легкого</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530</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151 406 181</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M05</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C34.3</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Злокачественное новообразование нижней доли, бронхов или легкого</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1 644</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11</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431 447 576</w:t>
            </w:r>
          </w:p>
        </w:tc>
      </w:tr>
      <w:tr w:rsidR="00D400D1" w:rsidRPr="00D400D1" w:rsidTr="00D400D1">
        <w:trPr>
          <w:trHeight w:val="99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M05</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C34.8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Злокачественное поражение бронхов или легкого, выходящее за пределы одной и более вышеуказанных локализаций</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295</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61 338 215</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M05</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C34.9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Злокачественное новообразование бронхов или легкого неуточненной локализации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294</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11</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59 875 610</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M02</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I20.0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Нестабильная стенокардия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30 444</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10 824 306 957</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M02</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I20.1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Стенокардия с документально подтвержденным спазмом (вариантная )</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132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36 469 912</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M02</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I20.8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Другие формы стенокардии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53 811</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17 094 587 445</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M02</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I20.9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Стенокардия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58</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15</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10 431 718</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I21.0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Острый трансмуральный инфаркт передней стенки миокарда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6 161</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3 944 825 377</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I21.1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Острый трансмуральный инфаркт нижней стенки миокарда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4 527</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3 080 392 618</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I21.2</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Острый трансмуральный инфаркт миокарда других уточненных локализаций</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913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449 242 116</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I21.3</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Острый трансмуральный инфаркт миокарда неуточненной локализации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25</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7 820 403</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I21.4</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Острый субэндокардиальный инфаркт миокарда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4 478</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2 911 473 185</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I21.9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Острый инфаркт миокарда неуточненный</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90</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28 101 492</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I22.0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Повторный инфаркт передней стенки миокарда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1 063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546 831 371</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M01</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I22.1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Повторный инфаркт нижней стенки миокарда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472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317 825 613</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lastRenderedPageBreak/>
              <w:t>M04</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I50.0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Застойная сердечная недостаточность</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5 583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860 801 943</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M04</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I50.1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Левожелудочковая недостаточность</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1 333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331 274 145</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M04</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I50.9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Сердечная недостаточность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203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20 691 269</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J12.0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Аденовирусная пневмония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51</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3 981 319</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J12.1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респираторным синцитиальным вирусом</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885 546</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J12.2</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вирусом парагриппа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16</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108 620</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J12.8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Другая вирусная пневмония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2 898</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190 199 398</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J12.9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Вирусная пневмония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5 542 568</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J13</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streptococcus pneumoniae</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264</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25 677 133</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klebsiella pneumoniae</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68</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6 908 582</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pseudomonas (синегнойной палочкой)</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67</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12</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6 958 969</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J15.2</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стафилококком</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812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85 904 930</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J15.3</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стрептококком группы в</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6 431 449</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J15.4</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другими стрептококками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1 971</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169 943 418</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J15.5</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escherichia coli</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24</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2 368 198</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J15.6</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другими аэробными грамотрицательными бактериями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586</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71 118 356</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J15.7</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Mycoplasma pneumoniae</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11</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11</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1 158 080</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Другие бактериальные пневмонии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68 315</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7 444 450 483</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J15.9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Бактериальная пневмония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563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56 140 639</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J16.0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хламидиями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17</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444 298</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J16.8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вызванная другими уточненными инфекционными возбудителями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9 492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1 019 448 790</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J18.0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Бронхопневмония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19 894</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2 014 432 018</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J18.1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Долевая пневмония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6 082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590 949 024</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J18.2</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Гипостатическая пневмония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163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14 773 902</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J18.8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Другая пневмония, возбудитель не уточнен</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22 589</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2 468 063 638</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M07</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J18.9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Пневмония неуточненная</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4 155</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100 497 942</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M03</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K80.0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Камни желчного пузыря с острым холециститом</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19 446</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2 129 143 214</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M03</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K80.1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Камни желчного пузыря с другим холециститом</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12 839</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1 428 114 430</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lastRenderedPageBreak/>
              <w:t>M03</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K80.2</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Камни желчного пузыря без холецистита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1 326</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145 606 618</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M03</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K80.3</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Камни желчного протока с холангитом</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373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12</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66 528 856</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M03</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K80.4</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Камни желчного протока с холециститом</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798</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12</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134 876 079</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M03</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K80.5</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Камни желчного протока без холангита или холецистита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223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11</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40 904 881</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M03</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K80.8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Другие формы холелитиаза</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71</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8</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6 902 647</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M06</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O80.0</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Самопроизвольные роды в затылочном предлежании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236 225</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16 473 369 637</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M06</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O80.1</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Самопроизвольные роды в ягодичном предлежании</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919</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65 154 212</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M06</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O80.8</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Другие самопроизвольные одноплодные роды</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4 703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5</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322 340 498</w:t>
            </w:r>
          </w:p>
        </w:tc>
      </w:tr>
      <w:tr w:rsidR="00D400D1" w:rsidRPr="00D400D1" w:rsidTr="00D400D1">
        <w:trPr>
          <w:trHeight w:val="66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M06</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O80.9</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Одноплодные самопроизвольные роды неуточненные</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72</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3</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4 809 303</w:t>
            </w:r>
          </w:p>
        </w:tc>
      </w:tr>
      <w:tr w:rsidR="00D400D1" w:rsidRPr="00D400D1" w:rsidTr="00D400D1">
        <w:trPr>
          <w:trHeight w:val="330"/>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color w:val="000000"/>
                <w:lang w:eastAsia="ru-RU"/>
              </w:rPr>
            </w:pPr>
            <w:r w:rsidRPr="00D400D1">
              <w:rPr>
                <w:rFonts w:ascii="Arial Narrow" w:eastAsia="Times New Roman" w:hAnsi="Arial Narrow" w:cs="Calibri"/>
                <w:color w:val="000000"/>
                <w:lang w:eastAsia="ru-RU"/>
              </w:rPr>
              <w:t> </w:t>
            </w:r>
          </w:p>
        </w:tc>
        <w:tc>
          <w:tcPr>
            <w:tcW w:w="3145" w:type="dxa"/>
            <w:tcBorders>
              <w:top w:val="nil"/>
              <w:left w:val="nil"/>
              <w:bottom w:val="single" w:sz="4" w:space="0" w:color="auto"/>
              <w:right w:val="single" w:sz="4" w:space="0" w:color="auto"/>
            </w:tcBorders>
            <w:shd w:val="clear" w:color="auto" w:fill="auto"/>
            <w:vAlign w:val="center"/>
            <w:hideMark/>
          </w:tcPr>
          <w:p w:rsidR="00D400D1" w:rsidRPr="00D400D1" w:rsidRDefault="00D400D1" w:rsidP="00D400D1">
            <w:pPr>
              <w:spacing w:after="0" w:line="240" w:lineRule="auto"/>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ИТОГО</w:t>
            </w:r>
          </w:p>
        </w:tc>
        <w:tc>
          <w:tcPr>
            <w:tcW w:w="1460"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532 713</w:t>
            </w:r>
          </w:p>
        </w:tc>
        <w:tc>
          <w:tcPr>
            <w:tcW w:w="1517"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9</w:t>
            </w:r>
          </w:p>
        </w:tc>
        <w:tc>
          <w:tcPr>
            <w:tcW w:w="1538" w:type="dxa"/>
            <w:tcBorders>
              <w:top w:val="nil"/>
              <w:left w:val="nil"/>
              <w:bottom w:val="single" w:sz="4" w:space="0" w:color="auto"/>
              <w:right w:val="single" w:sz="4" w:space="0" w:color="auto"/>
            </w:tcBorders>
            <w:shd w:val="clear" w:color="auto" w:fill="auto"/>
            <w:noWrap/>
            <w:vAlign w:val="center"/>
            <w:hideMark/>
          </w:tcPr>
          <w:p w:rsidR="00D400D1" w:rsidRPr="00D400D1" w:rsidRDefault="00D400D1" w:rsidP="00D400D1">
            <w:pPr>
              <w:spacing w:after="0" w:line="240" w:lineRule="auto"/>
              <w:jc w:val="center"/>
              <w:rPr>
                <w:rFonts w:ascii="Arial Narrow" w:eastAsia="Times New Roman" w:hAnsi="Arial Narrow" w:cs="Calibri"/>
                <w:b/>
                <w:bCs/>
                <w:color w:val="000000"/>
                <w:lang w:eastAsia="ru-RU"/>
              </w:rPr>
            </w:pPr>
            <w:r w:rsidRPr="00D400D1">
              <w:rPr>
                <w:rFonts w:ascii="Arial Narrow" w:eastAsia="Times New Roman" w:hAnsi="Arial Narrow" w:cs="Calibri"/>
                <w:b/>
                <w:bCs/>
                <w:color w:val="000000"/>
                <w:lang w:eastAsia="ru-RU"/>
              </w:rPr>
              <w:t>77 674 243 928</w:t>
            </w:r>
          </w:p>
        </w:tc>
      </w:tr>
    </w:tbl>
    <w:p w:rsidR="00D400D1" w:rsidRDefault="00D400D1" w:rsidP="007B6F55">
      <w:pPr>
        <w:jc w:val="center"/>
        <w:rPr>
          <w:rFonts w:ascii="Times New Roman" w:hAnsi="Times New Roman" w:cs="Times New Roman"/>
          <w:b/>
          <w:color w:val="000000" w:themeColor="text1"/>
          <w:sz w:val="28"/>
          <w:szCs w:val="28"/>
        </w:rPr>
      </w:pPr>
    </w:p>
    <w:p w:rsidR="007B6F55" w:rsidRDefault="007B6F55">
      <w:pPr>
        <w:rPr>
          <w:rFonts w:ascii="Times New Roman" w:hAnsi="Times New Roman" w:cs="Times New Roman"/>
          <w:b/>
          <w:color w:val="000000" w:themeColor="text1"/>
          <w:sz w:val="28"/>
          <w:szCs w:val="28"/>
        </w:rPr>
      </w:pPr>
    </w:p>
    <w:p w:rsidR="007B6F55" w:rsidRDefault="007B6F55">
      <w:pPr>
        <w:rPr>
          <w:rFonts w:ascii="Times New Roman" w:hAnsi="Times New Roman" w:cs="Times New Roman"/>
          <w:b/>
          <w:color w:val="000000" w:themeColor="text1"/>
          <w:sz w:val="28"/>
          <w:szCs w:val="28"/>
        </w:rPr>
      </w:pPr>
    </w:p>
    <w:p w:rsidR="007B6F55" w:rsidRDefault="007B6F55">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A16C6A" w:rsidRDefault="00A16C6A" w:rsidP="00A16C6A">
      <w:pPr>
        <w:jc w:val="right"/>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 xml:space="preserve">Приложение </w:t>
      </w:r>
      <w:r w:rsidR="00CB07B8">
        <w:rPr>
          <w:rFonts w:ascii="Times New Roman" w:hAnsi="Times New Roman" w:cs="Times New Roman"/>
          <w:b/>
          <w:color w:val="000000" w:themeColor="text1"/>
          <w:sz w:val="28"/>
          <w:szCs w:val="28"/>
        </w:rPr>
        <w:t>2</w:t>
      </w:r>
      <w:r>
        <w:rPr>
          <w:rFonts w:ascii="Times New Roman" w:hAnsi="Times New Roman" w:cs="Times New Roman"/>
          <w:b/>
          <w:color w:val="000000" w:themeColor="text1"/>
          <w:sz w:val="28"/>
          <w:szCs w:val="28"/>
        </w:rPr>
        <w:t xml:space="preserve"> </w:t>
      </w:r>
    </w:p>
    <w:p w:rsidR="00A16C6A" w:rsidRDefault="00A16C6A" w:rsidP="007B6F55">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Данные по пролеченным </w:t>
      </w:r>
      <w:r w:rsidR="007B6F55">
        <w:rPr>
          <w:rFonts w:ascii="Times New Roman" w:hAnsi="Times New Roman" w:cs="Times New Roman"/>
          <w:b/>
          <w:color w:val="000000" w:themeColor="text1"/>
          <w:sz w:val="28"/>
          <w:szCs w:val="28"/>
        </w:rPr>
        <w:t xml:space="preserve">хирургическим </w:t>
      </w:r>
      <w:r>
        <w:rPr>
          <w:rFonts w:ascii="Times New Roman" w:hAnsi="Times New Roman" w:cs="Times New Roman"/>
          <w:b/>
          <w:color w:val="000000" w:themeColor="text1"/>
          <w:sz w:val="28"/>
          <w:szCs w:val="28"/>
        </w:rPr>
        <w:t>случаям для государственного сектора</w:t>
      </w:r>
      <w:r w:rsidR="007B6F55">
        <w:rPr>
          <w:rFonts w:ascii="Times New Roman" w:hAnsi="Times New Roman" w:cs="Times New Roman"/>
          <w:b/>
          <w:color w:val="000000" w:themeColor="text1"/>
          <w:sz w:val="28"/>
          <w:szCs w:val="28"/>
        </w:rPr>
        <w:t>, сформированных для сопоставления с ОЭСР</w:t>
      </w:r>
    </w:p>
    <w:tbl>
      <w:tblPr>
        <w:tblW w:w="9377" w:type="dxa"/>
        <w:tblInd w:w="87" w:type="dxa"/>
        <w:tblLook w:val="04A0" w:firstRow="1" w:lastRow="0" w:firstColumn="1" w:lastColumn="0" w:noHBand="0" w:noVBand="1"/>
      </w:tblPr>
      <w:tblGrid>
        <w:gridCol w:w="730"/>
        <w:gridCol w:w="809"/>
        <w:gridCol w:w="3585"/>
        <w:gridCol w:w="1181"/>
        <w:gridCol w:w="1374"/>
        <w:gridCol w:w="1698"/>
      </w:tblGrid>
      <w:tr w:rsidR="007B6F55" w:rsidRPr="007B6F55" w:rsidTr="007B6F55">
        <w:trPr>
          <w:trHeight w:val="990"/>
        </w:trPr>
        <w:tc>
          <w:tcPr>
            <w:tcW w:w="730" w:type="dxa"/>
            <w:tcBorders>
              <w:top w:val="single" w:sz="4" w:space="0" w:color="auto"/>
              <w:left w:val="single" w:sz="4" w:space="0" w:color="auto"/>
              <w:bottom w:val="single" w:sz="4" w:space="0" w:color="auto"/>
              <w:right w:val="single" w:sz="4" w:space="0" w:color="auto"/>
            </w:tcBorders>
            <w:shd w:val="clear" w:color="DEEBF6" w:fill="DEEBF6"/>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Код ОЭСР</w:t>
            </w:r>
          </w:p>
        </w:tc>
        <w:tc>
          <w:tcPr>
            <w:tcW w:w="809" w:type="dxa"/>
            <w:tcBorders>
              <w:top w:val="single" w:sz="4" w:space="0" w:color="auto"/>
              <w:left w:val="nil"/>
              <w:bottom w:val="single" w:sz="4" w:space="0" w:color="auto"/>
              <w:right w:val="single" w:sz="4" w:space="0" w:color="auto"/>
            </w:tcBorders>
            <w:shd w:val="clear" w:color="DEEBF6" w:fill="DEEBF6"/>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Код по МКБ-9</w:t>
            </w:r>
          </w:p>
        </w:tc>
        <w:tc>
          <w:tcPr>
            <w:tcW w:w="3585" w:type="dxa"/>
            <w:tcBorders>
              <w:top w:val="single" w:sz="4" w:space="0" w:color="auto"/>
              <w:left w:val="nil"/>
              <w:bottom w:val="single" w:sz="4" w:space="0" w:color="auto"/>
              <w:right w:val="single" w:sz="4" w:space="0" w:color="auto"/>
            </w:tcBorders>
            <w:shd w:val="clear" w:color="DEEBF6" w:fill="DEEBF6"/>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Наименование манипуляции</w:t>
            </w:r>
          </w:p>
        </w:tc>
        <w:tc>
          <w:tcPr>
            <w:tcW w:w="1181" w:type="dxa"/>
            <w:tcBorders>
              <w:top w:val="single" w:sz="4" w:space="0" w:color="auto"/>
              <w:left w:val="nil"/>
              <w:bottom w:val="single" w:sz="4" w:space="0" w:color="auto"/>
              <w:right w:val="single" w:sz="4" w:space="0" w:color="auto"/>
            </w:tcBorders>
            <w:shd w:val="clear" w:color="DEEBF6" w:fill="DEEBF6"/>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Количество случаев</w:t>
            </w:r>
          </w:p>
        </w:tc>
        <w:tc>
          <w:tcPr>
            <w:tcW w:w="1374" w:type="dxa"/>
            <w:tcBorders>
              <w:top w:val="single" w:sz="4" w:space="0" w:color="auto"/>
              <w:left w:val="nil"/>
              <w:bottom w:val="single" w:sz="4" w:space="0" w:color="auto"/>
              <w:right w:val="single" w:sz="4" w:space="0" w:color="auto"/>
            </w:tcBorders>
            <w:shd w:val="clear" w:color="DEEBF6" w:fill="DEEBF6"/>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Средняя длительность лечения</w:t>
            </w:r>
            <w:r w:rsidR="00D400D1">
              <w:rPr>
                <w:rFonts w:ascii="Arial Narrow" w:eastAsia="Times New Roman" w:hAnsi="Arial Narrow" w:cs="Calibri"/>
                <w:b/>
                <w:bCs/>
                <w:color w:val="000000"/>
                <w:sz w:val="20"/>
                <w:szCs w:val="20"/>
                <w:lang w:eastAsia="ru-RU"/>
              </w:rPr>
              <w:t>, дней</w:t>
            </w:r>
          </w:p>
        </w:tc>
        <w:tc>
          <w:tcPr>
            <w:tcW w:w="1698" w:type="dxa"/>
            <w:tcBorders>
              <w:top w:val="single" w:sz="4" w:space="0" w:color="auto"/>
              <w:left w:val="nil"/>
              <w:bottom w:val="single" w:sz="4" w:space="0" w:color="auto"/>
              <w:right w:val="single" w:sz="4" w:space="0" w:color="auto"/>
            </w:tcBorders>
            <w:shd w:val="clear" w:color="DEEBF6" w:fill="DEEBF6"/>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Предъявлено к оплате</w:t>
            </w:r>
            <w:r w:rsidR="00D400D1">
              <w:rPr>
                <w:rFonts w:ascii="Arial Narrow" w:eastAsia="Times New Roman" w:hAnsi="Arial Narrow" w:cs="Calibri"/>
                <w:b/>
                <w:bCs/>
                <w:color w:val="000000"/>
                <w:sz w:val="20"/>
                <w:szCs w:val="20"/>
                <w:lang w:eastAsia="ru-RU"/>
              </w:rPr>
              <w:t>, тенге</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00.66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Чрескожная транслюминальная коронарная ангиопластика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774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670 064 069</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06.30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ВИДЫ ЧАСТИЧНОЙ ТИРЕОИДЭКТОМИИ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10 289 777</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06.39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ПРОЧАЯ ЧАСТИЧНАЯ ТИРЕОИДЭКТОМИЯ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14 702 758</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06.40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ПОЛНАЯ ТИРЕОИДЭКТОМИЯ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825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116 565 663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06.50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ЗАГРУДИННАЯ ТИРЕОИДЭКТОМИЯ, НЕ УТОЧНЕННАЯ ИНАЧЕ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278 605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06.51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ЧАСТИЧНАЯ ЗАГРУДИННАЯ ТИРЕОИДЭКТОМИЯ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825 556</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06.52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ПОЛНАЯ ЗАГРУДИННАЯ ТИРЕОИДЭКТОМИЯ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2 091 572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13.00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УДАЛЕНИЕ ИНОРОДНОГО ТЕЛА ИЗ ХРУСТАЛИКА, НЕ УТОЧНЕННОЕ ИНАЧЕ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159 444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13.01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УДАЛЕНИЕ ИНОРОДНОГО ТЕЛА ИЗ ХРУСТАЛИКА С ПОМОЩЬЮ МАГНИТА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539 034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13.11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ВНУТРИКАПСУЛЬНАЯ ЭКСТРАКЦИЯ ХРУСТАЛИКА ЧЕРЕЗ ВРЕМЕННЫЙ НИЖНИЙ ДОСТУП</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961 349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13.19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ВИДЫ ВНУТРИКАПСУЛЬНОЙ ЭКСТРАКЦИИ ХРУСТАЛИКА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7 491 266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13.20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ВНЕКАПСУЛЯРНАЯ ЭКСТРАКЦИЯ ХРУСТАЛИКА МЕТОДОМ ЛИНЕЙНОЙ ЭКСТРАКЦИИ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7 573 454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13.30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ВНЕКАПСУЛЯРНАЯ ЭКСТРАКЦИЯ ХРУСТАЛИКА МЕТОДОМ ПРОСТОЙ АСПИРАЦИИ (И ИРРИГАЦИИ)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2 556 835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13.41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ЭМУЛЬГИРОВАНИЕ ХРУСТАЛИКА И АСПИРАЦИЯ КАТАРАКТЫ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2 729 643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13.42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МЕХАНИЧЕСКОЕ РАЗДРОБЛЕНИЕ ХРУСТАЛИКА И АСПИРАЦИЯ КАТАРАКТЫ ЧЕРЕЗ ЗАДНИЙ ДОСТУП</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85 932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13.43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МЕХАНИЧЕСКОЕ ДРОБЛЕНИЕ ХРУСТАЛИКА И ДРУГИЕ ВИДЫ АСПИРАЦИИ КАТАРАКТЫ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2 207 912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13.51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ВНЕКАПСУЛЬНАЯ ЭКСТРАКЦИЯ ХРУСТАЛИКА ЧЕРЕЗ ВРЕМЕННЫЙ НИЖНИЙ ДОСТУП</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956 662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13.59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ВИДЫ ВНЕКАПСУЛЬНОЙ ЭКСТРАКЦИИ ХРУСТАЛИКА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2 002 421</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13.64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РАССЕЧЕНИЕ ВТОРИЧНОЙ МЕМБРАНЫ (ПОСЛЕ КАТАРАКТЫ)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7 831 650</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lastRenderedPageBreak/>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13.65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ИССЕЧЕНИЕ ВТОРИЧНОЙ МЕМБРАНЫ (ПОСЛЕ КАТАРАКТЫ)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3 384 538</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13.66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МЕХАНИЧЕСКОЕ РАЗДРОБЛЕНИЕ ВТОРИЧНОЙ МЕМБРАНЫ (ПОСЛЕ КАТАРАКТЫ)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79 722</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13.69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ПРОЧИЕ ВИДЫ ЭКСТРАКЦИИ КАТАРАКТЫ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794 471</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13.70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ВВЕДЕНИЕ ИСКУССТВЕННОГО ХРУСТАЛИКА (ПСЕВДОХРУСТАЛИКА)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2 398 161</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13.71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ВВЕДЕНИЕ ВНУТРИГЛАЗНОГО ИСКУССТВЕННОГО ХРУСТАЛИКА В МОМЕНТ ЭКСТРАКЦИИ КАТАРАКТЫ ОДНОВРЕМЕННО</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4 834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538 162 216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13.72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ВТОРИЧНОЕ ВВЕДЕНИЕ ВНУТРИГЛАЗНОГО ИСКУССТВЕННОГО ХРУСТАЛИКА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13 098 818</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13.73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Факоэмульсификация катаракты с имплантацией ИОЛ</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14 526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2 779 213 866</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13.7301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Факоэмульсификация сублюксированного хрусталика с трансклеральной фиксацией интраокулярных линз с пластикой капсульного мешка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3 797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1 111 771 555</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Факоэмульсификация сублюксированного хрусталика с трансклеральной фиксацией ИОЛ с пластикой капсульного мешка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66 090 877</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13.80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УДАЛЕНИЕ ИМПЛАНТИРОВАННОГО ХРУСТАЛИКА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3 178 403</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13.90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МАНИПУЛЯЦИИ НА ХРУСТАЛИКЕ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610 397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13.91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ФАКОАСПИРАЦИЯ КАТАРАКТЫ С ИМПЛАНТАЦИЕЙ ИОЛ</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303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57 688 698</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13.92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ФАКОАСПИРАЦИЯ КАТАРАКТЫ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4 311 993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17.11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ЛАПАРОСКОПИЧЕСКОЕ УДАЛЕНИЕ ПРЯМОЙ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8 902 959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17.12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ЛАПАРОСКОПИЧЕСКОЕ УДАЛЕНИЕ КОСОЙ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704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74 741 581</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17.13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Лапароскопическое удаление паховой грыжи с применением трансплантата или протеза неуточненное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2 463 295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17.21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ЛАПАРОСКОПИЧЕСКОЕ УДАЛЕНИЕ ДВУСТОРОННЕЙ ПРЯМОЙ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1 262 948</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17.22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ЛАПАРОСКОПИЧЕСКОЕ УДАЛЕНИЕ ДВУСТОРОННЕЙ КОСОЙ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9 680 751</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17.23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ЛАПАРОСКОПИЧЕСКОЕ УДАЛЕНИЕ ДВУСТОРОННЕЙ ПРЯМОЙ И НЕПРЯМОЙ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532 810</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17.31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ПОЛИСЕГМЕНТАРНАЯ РЕЗЕКЦИЯ ТОЛСТОГО КИШЕЧНИКА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7 214 784</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17.32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РЕЗЕКЦИЯ СЛЕПОЙ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1 906 786</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lastRenderedPageBreak/>
              <w:t>S21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28.20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ТОНЗИЛЛЭКТОМИЯ БЕЗ УДАЛЕНИЯ АДЕНОИДОВ</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781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58 210 035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S21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28.30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ТОНЗИЛЛЭКТОМИЯ С УДАЛЕНИЕМ АДЕНОИДОВ</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961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61 845 729</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S21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28.60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УДАЛЕНИЕ АДЕНОИДОВ БЕЗ ТОНЗИЛЛЭКТОМИИ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3 074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197 167 493</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АОРТОКОРОНАРНОЕ ШУНТИРОВАНИЕ В ЦЕЛЯХ СЕРДЕЧНОЙ РЕВАСКУЛЯРИЗАЦИИ, НЕ УТОЧНЕННОЕ ИНАЧЕ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21 746 406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36.1090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СОЧЕТАНИЕ АОРТОКОРОНАРНОГО ШУНТИРОВАНИЯ И СТЕНТИРОВАНИЯ АРТЕРИЙ</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21 684 942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АОРТОКОРОНАРНОЕ ШУНТИРОВАНИЕ ОДНОЙ КОРОНАРНОЙ АРТЕРИИ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66 609 388</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АОРТОКОРОНАРНОЕ ШУНТИРОВАНИЕ ДВУХ КОРОНАРНЫХ АРТЕРИЙ</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1 482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2 717 719 485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АОРТОКОРОНАРНОЕ ШУНТИРОВАНИЕ ТРЕХ КОРОНАРНЫХ АРТЕРИЙ</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2 264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4 207 058 675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АОРТОКОРОНАРНОЕ ШУНТИРОВАНИЕ ЧЕТЫРЕХ ИЛИ БОЛЕЕ КОРОНАРНЫХ АРТЕРИЙ</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748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1 406 463 294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ОДИНАРНОЕ ВНУТРЕННЕЕ МАММАРНО-КОРОНАРНОЕ ШУНТИРОВАНИЕ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805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1 470 448 313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36.16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Двойное внутреннее маммарно-коронарное шунтирование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223 532 919</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38.02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РАССЕЧЕНИЕ ДРУГИХ СОСУДОВ ГОЛОВЫ И ШЕИ (СОННАЯ АРТЕРИЯ И ЕЕ ВЕТВИ, ЯРЕМНАЯ ВЕНА) (ЭМБОЛЭКТОМИЯ, ТРОМБЭКТОМИЯ)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3 934 236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ЭНДАРТЕРЭКТОМИЯ, НЕУТОЧНЕННОЙ ЛОКАЛИЗАЦИИ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145 626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ЭНДАРТЕРИОЭКТОМИЯ ДРУГИХ АРТЕРИЙ ГОЛОВЫ И ШЕИ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24 644 754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38.121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ЭНДАРТЕРИОЭКТОМИЯ (СОННАЯ АРТЕРИЯ И ЕЕ ВЕТВИ, ЯРЕМНАЯ ВЕНА)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298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157 969 437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ЭНДАРТЕРЭКТОМИЯ СОСУДОВ ВЕРХНЕЙ КОНЕЧНОСТИ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1 828 689</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ЭНДАРТЕРЭКТОМИЯ АОРТЫ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382 402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ЭНДАРТЕРЭКТОМИЯ ДРУГИХ СОСУДОВ ГРУДНОЙ КЛЕТКИ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24</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440 724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ЭНДАРТЕРЭКТОМИЯ АРТЕРИЙ БРЮШНОЙ ПОЛОСТИ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1 099 661</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38.18</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ЭНДАРТЕРЭКТОМИЯ АРТЕРИЙ НИЖНЕЙ КОНЕЧНОСТИ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9 385 905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S20</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38.50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ПЕРЕВЯЗКА И ЭКСТИРПАЦИЯ ВАРИКОЗНЫХ ВЕН НЕУТОЧНЕННАЯ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2 782 385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lastRenderedPageBreak/>
              <w:t>S20</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38.53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ПЕРЕВЯЗКА И ЭКСТИРПАЦИЯ ВАРИКОЗНЫХ ВЕН СОСУДОВ ВЕРХНЕЙ КОНЕЧНОСТИ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1 038 943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S20</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38.59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ПЕРЕВЯЗКА И ЭКСТИРПАЦИЯ ВАРИКОЗНЫХ ВЕН НИЖНЕЙ КОНЕЧНОСТИ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4 987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731 410 066</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39.22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Наложение аорто-подключично-каротидного шунта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7 923 354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39.23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ДРУГОЙ ВНУТРИГРУДНОЙ ВАСКУЛЯРНЫЙ ШУНТ ИЛИ АНАСТОМОЗ</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475 042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39.28</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ЭКСТРА-ИНТРАКРАНИАЛЬНОЕ ВАСКУЛЯРНОЕ ШУНТИРОВАНИЕ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145 328 902</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39.491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БЕДРЕННО-ПОДКОЛЕННОЕ ШУНТИРОВАНИЕ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3 539 925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45.70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ЧАСТИЧНАЯ РЕЗЕКЦИЯ ТОЛСТОЙ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39 377 872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45.71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МНОЖЕСТВЕННАЯ СЕГМЕНТАРНАЯ РЕЗЕКЦИЯ ТОЛСТОЙ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1 316 825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45.74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РЕЗЕКЦИЯ ПОПЕРЕЧНО-ОБОДОЧНОЙ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13 632 890</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45.79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ДРУГАЯ ЧАСТИЧНАЯ РЕЗЕКЦИЯ ТОЛСТОЙ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40 458 506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46.04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РЕЗЕКЦИЯ СЕГМЕНТА ТОЛСТОЙ КИШКИ, ВЫВЕДЕННОГО НА ПОВЕРХНОСТЬ ТЕЛА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16 264 667</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47.00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АППЕНДЭКТОМИЯ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28 628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2 344 891 100</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47.01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АППЕНДЭКТОМИЯ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9 073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958 497 592</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47.10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ПРОСТАЯ АППЕНДЭКТОМИЯ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4 928 639</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48.41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ПОДСЛИЗИСТАЯ РЕЗЕКЦИЯ ПРЯМОЙ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5 842 776</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48.49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ДРУГАЯ НИЗВОДЯЩАЯ РЕЗЕКЦИЯ ПРЯМОЙ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1 514 285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48.50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БРЮШНО-ПРОМЕЖНОСТНАЯ РЕЗЕКЦИЯ ПРЯМОЙ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21 172 298</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48.51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брюшно-промежностная резекция прямой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12 475 217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48.52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ОТКРЫТАЯ БРЮШНО-ПРОМЕЖНОСТНАЯ РЕЗЕКЦИЯ ПРЯМОЙ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14 317 797</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48.62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ПЕРЕДНЯЯ РЕЗЕКЦИЯ ПРЯМОЙ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255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55 043 680</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48.64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ЗАДНЯЯ РЕЗЕКЦИЯ ПРЯМОЙ КИШКИ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2 372 353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S04</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48.65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РЕЗЕКЦИЯ ПРЯМОЙ КИШКИ ДЮГАМЕЛЯ (БРЮШНО-ПРОМЕЖНОСТНАЯ НИЗВОДЯЩАЯ)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456 773</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51.20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ХОЛЕЦИСТЭКТОМИЯ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2 240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313 580 643</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51.22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ДРУГАЯ ХОЛЕЦИСТЭКТОМИЯ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5 492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763 367 245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51.23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ХОЛЕЦИСТЭКТОМИЯ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19 669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2 093 348 316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S03</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51.24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ХОЛЕЦИСТЭКТОМИЯ ПРИ ХРОНИЧЕСКОМ ХОЛЕЦИСТИТЕ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27 508 705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53.00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ОДНОСТОРОННЕЕ УДАЛЕНИЕ ПАХОВОЙ ГРЫЖИ, НЕ УТОЧНЕННОЕ ИНАЧЕ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466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39 177 204</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lastRenderedPageBreak/>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53.01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УСТРАНЕНИЕ ПРЯМОЙ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1 880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155 619 040</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53.02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УСТРАНЕНИЕ КОСОЙ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6 077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465 401 843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53.03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УСТРАНЕНИЕ ПРЯМОЙ ПАХОВОЙ ГРЫЖИ С ПОМОЩЬЮ ИМПЛАНТАТА ИЛИ ПРОТЕЗА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822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69 680 072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53.04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УСТРАНЕНИЕ КОСОЙ ПАХОВОЙ ГРЫЖИ С ПОМОЩЬЮ ИМПЛАНТАТА ИЛИ ПРОТЕЗА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1 029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87 462 566</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53.05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УСТРАНЕНИЕ ПАХОВОЙ ГРЫЖИ С ПОМОЩЬЮ ИМПЛАНТАТА ИЛИ ПРОТЕЗА, НЕ УТОЧНЕННОЕ ИНАЧЕ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11 731 025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53.091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УСТРАНЕНИЕ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575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48 075 177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ДВУСТОРОНЕЕ УСТРАНЕНИЕ ПАХОВОЙ ГРЫЖИ,НЕ УТОЧНЕННОЕ ИНАЧЕ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5 425 809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ДВУСТОРОННЕЕ УСТРАНЕНИЕ ПРЯМОЙ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1 347 799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ДВУСТОРОННЕЕ УСТРАНЕНИЕ КОСОЙ ПАХОВОЙ ГРЫЖИ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2 357 131</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ДВУСТОРОННЕЕ УСТРАНЕНИЕ ПАХОВОЙ ГРЫЖИ, ОДНОЙ ПРЯМОЙ И ОДНОЙ КОСОЙ</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705 720</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ДВУСТОРОННЕЕ УСТРАНЕНИЕ ПРЯМОЙ ПАХОВОЙ ГРЫЖИ С ПОМОЩЬЮ ИМПЛАНТАТА ИЛИ ПРОТЕЗА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2 582 567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ДВУСТОРОННЕЕ УСТРАНЕНИЕ КОСОЙ ПАХОВОЙ ГРЫЖИ С ПОМОЩЬЮ ИМПЛАНТАТА ИЛИ ПРОТЕЗА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2 244 107</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ДВУСТОРОННЕЕ УСТРАНЕНИЕ ПАХОВОЙ ГРЫЖИ, ОДНОЙ ПРЯМОЙ И ОДНОЙ КОСОЙ, С ПОМОЩЬЮ ИМПЛАНТАТА ИЛИ ПРОТЕЗА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82 649</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S15</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53.17</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ДВУСТОРОННЕЕ УСТРАНЕНИЕ ПАХОВОЙ ГРЫЖИ С ПОМОЩЬЮ ИМПЛАНТАТА ИЛИ ПРОТЕЗА, НЕ УТОЧНЕННОЕ ИНАЧЕ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85 062</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60.0019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РАДИКАЛЬНАЯ БРЮШИННАЯ ПРОСТАТЭКТОМИЯ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9 481 239</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60.20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ТРАНСУРЕТРАЛЬНАЯ ПРОСТАТЭКТОМИЯ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621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90 425 863</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60.2020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БИПОЛЯРНАЯ ТРАНСУРЕТРАЛЬНАЯ РЕЗЕКЦИЯ ДОБРОКАЧЕСТВЕННОЙ ГИПЕРПЛАЗИИ ПРЕДСТАТЕЛЬНОЙ ЖЕЛЕЗЫ</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2 160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381 945 968</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S17</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60.21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ТРАНСУРЕТРАЛЬНАЯ (УЛЬТАЗВУКОВАЯ) ПРОСТАТЭКТОМИЯ (TULIP)</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6 444 517</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60.30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ЧРЕЗПУЗЫРНАЯ ПРОСТАТЭКТОМИЯ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622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91 880 525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60.40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РЕТРОПУБИТАЛЬНАЯ ПРОСТАТЭКТОМИЯ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1 167 772</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60.50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РАДИКАЛЬНАЯ ПРОСТАТЭКТОМИЯ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21 807 686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60.5015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РАДИКАЛЬНАЯ НЕРВОСБЕРЕГАЮЩАЯ ПРОСТАТЭКТОМИЯ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5 366 498</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60.69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ПРОЧАЯ ПРОСТАТЭКТОМИЯ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286 443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lastRenderedPageBreak/>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68.39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И НЕОПРЕДЕЛЕННЫЕ АБДОМИНАЛЬНЫЕ ГИСТЕРЭКТОМИИ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1 542 914</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68.411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ПОЛНАЯ ГИСТЕРЭКТОМИЯ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530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174 649 426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68.49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И НЕОПРЕДЕЛЕННЫЕ ПОЛНЫЕ АБДОМИНАЛЬНЫЕ ГИСТЕРЭКТОМИИ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6 272 560</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68.51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ВАГИНАЛЬНАЯ ГИСТЕРЭКТОМИЯ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1 041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345 077 537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68.601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РАДИКАЛЬНАЯ АБДОМИНАЛЬНАЯ ГИСТЕРЭКТОМИЯ IV ТИПА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23 963 244</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68.603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РАДИКАЛЬНАЯ ГИСТЕРЭКТОМИЯ V ТИПА (ПЕРЕДНЯЯ, ЗАДНЯЯ, ТОТАЛЬНАЯ)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840 821</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68.61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ЛАПАРОСКОПИЧЕСКАЯ РАДИКАЛЬНАЯ АБДОМИНАЛЬНАЯ ГИСТЕРЭКТОМИЯ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1 798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596 825 110</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68.611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ЛАПАРОСКОПИЧЕСКИЕ РАДИКАЛЬНЫЕ ГИСТЕРЭКТОМИИ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51 110 575</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68.69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и неуточненные радикальные абдоминальные гистерэктомии (операция Вертгейма)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18 403 106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S09</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68.71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ЛАПАРОСКОПИЧЕСКИЕ РАДИКАЛЬНЫЕ ВАГИНАЛЬНЫЕ ГИСТЕРЭКТОМИИ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872 903</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74.00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КЛАССИЧЕСКОЕ КЕСАРЕВО СЕЧЕНИЕ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52 656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7 134 059 747</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74.10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НИЗКОЕ ЦЕРВИКАЛЬНОЕ КЕСАРЕВО СЕЧЕНИЕ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4 944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673 908 080</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74.20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ВНЕБРЮШИННОЕ КЕСАРЕВО СЕЧЕНИЕ</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133 133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74.40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КЕСАРЕВО СЕЧЕНИЕ ДРУГОГО УТОЧНЕННОГО ТИПА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13 596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1 910 378 438</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S02</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74.99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ДРУГОЕ КЕСАРЕВО СЕЧЕНИЕ НЕУТОЧНЕННОГО ТИПА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955 933</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S18</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80.262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АРТРОСКОПИЧЕСКАЯ РЕЗЕКЦИЯ МЕНИСКА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1 079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142 479 389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80.50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ИССЕЧЕНИЕ ИЛИ ДЕСТРУКЦИЯ МЕЖПОЗВОНОЧНОГО ДИСКА, НЕУТОЧНЕННАЯ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1 503 235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80.51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ИССЕЧЕНИЕ МЕЖПОЗВОНОЧНОГО ДИСКА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2 158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541 886 117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80.59</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ДРУГАЯ (КРОМЕ ХИМИОНУКЛЕОЗА) ДЕСТРУКЦИЯ МЕЖПОЗВОНОЧНОГО ДИСКА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9 750 341</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81.043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СПОНДИЛЛОДЕЗ ГРУДНОГО И ПОЯСНИЧНОГО ПОЗВОНКОВ, ПЕРЕДНИЙ ДОСТУП, ПРОТЕЗИРОВАНИЕ ДИСКА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4 941 596</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81.053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СПОНДИЛЛОДЕЗ ГРУДНОГО И ПОЯСНИЧНОГО ПОЗВОНКОВ, ЗАДНИЙ ДОСТУП, ПРОТЕЗИРОВАНИЕ ДИСКА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1 473 162</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81.063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СПОНДИЛЛОДЕЗ ПОЯСНИЧНОГО И КРЕСТЦОВОГО ПОЗВОНКОВ, ПЕРЕДНИЙ ДОСТУП, ПРОТЕЗИРОВАНИЕ ДИСКА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9 059 593</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lastRenderedPageBreak/>
              <w:t>S06</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81.083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СПОНДИЛЛОДЕЗ ПОЯСНИЧНОГО И КРЕСТЦОВОГО ПОЗВОНКОВ, ЗАДНИЙ ДОСТУП, ПРОТЕЗИРОВАНИЕ ДИСКА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3 771 963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S10</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81.47</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ДРУГИЕ МЕТОДЫ ВОССТАНОВЛЕНИЯ КОЛЕННОГО СУСТАВА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28</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3 633 932</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S08</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81.51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ПОЛНАЯ ЗАМЕНА ТАЗОБЕДРЕННОГО СУСТАВА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4 999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4 556 573 939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S08</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81.516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Полная замена тазобедренного сустава при гемофилии</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902 598</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S08</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81.52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ЧАСТИЧНАЯ ЗАМЕНА ТАЗОБЕДРЕННОГО СУСТАВА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3 694 390</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S08</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Частичная замена тазобедренного сустава (биполярный эндопротез)</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290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127 751 068</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S08</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81.53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РЕВИЗИЯ ЗАМЕНЫ ТАЗОБЕДРЕННОГО СУСТАВА, НЕУТОЧНЕННАЯ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215 552 921</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S10</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81.54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ПОЛНАЯ ЗАМЕНА КОЛЕННОГО СУСТАВА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6 103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5 557 211 677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S10</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81.55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РЕВИЗИЯ ЗАМЕНЫ КОЛЕННОГО СУСТАВА, НЕУТОЧНЕННАЯ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111 339 545</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85.23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СУБТОТАЛЬНАЯ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11 890 716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85.30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РЕДУКЦИОННАЯ МАММОПЛАСТИКА И ПОДКОЖНАЯ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2 956 943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85.33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ОДНОСТОРОННЯЯ ПОДКОЖНАЯ МАСТЭКТОМИЯ С ОДНОВРЕМЕННОЙ ИМПЛАНТАЦИЕЙ</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14</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1 187 949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85.34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ДРУГАЯ ОДНОСТОРОННЯЯ ПОДКОЖНАЯ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41</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3 421 737</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85.36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ДРУГАЯ ДВУСТОРОННЯЯ ПОДКОЖНАЯ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9</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733 672</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85.40</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223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17</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46 071 168</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ОДНОСТОРОННЯЯ ПРОСТАЯ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12</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10 626 206</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85.42</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ДВУСТОРОННЯЯ ПРОСТАЯ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1 192 441</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85.43</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ОДНОСТОРОННЯЯ РАСШИРЕННАЯ ПРОСТАЯ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15</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2 537 133</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ДВУСТОРОННЯЯ РАСШИРЕННАЯ ПРОСТАЯ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805 517</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85.45</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ОДНОСТОРОННЯЯ РАДИКАЛЬНАЯ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1 514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16</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325 000 369</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85.4514</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РАДИКАЛЬНАЯ МАСТЭКТОМИЯ С ОДНОМОМЕНТНОЙ РЕКОНСТРУКЦИЕЙ</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80</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35 728 343</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85.46</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ДВУСТОРОННЯЯ РАДИКАЛЬНАЯ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610 466</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85.47</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ОДНОСТОРОННЯЯ РАСШИРЕННАЯ РАДИКАЛЬНАЯ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22</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4 311 567</w:t>
            </w:r>
          </w:p>
        </w:tc>
      </w:tr>
      <w:tr w:rsidR="007B6F55" w:rsidRPr="007B6F55" w:rsidTr="007B6F55">
        <w:trPr>
          <w:trHeight w:val="99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lastRenderedPageBreak/>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85.471</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ОДНОСТОРОННЯЯ РАСШИРЕННАЯ РАДИКАЛЬНАЯ МАСТЭКТОМИЯ С ИСПОЛЬЗОВАНИЕМ ИМПЛАНТАТА</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13</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586 142</w:t>
            </w:r>
          </w:p>
        </w:tc>
      </w:tr>
      <w:tr w:rsidR="007B6F55" w:rsidRPr="007B6F55" w:rsidTr="007B6F55">
        <w:trPr>
          <w:trHeight w:val="66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S11</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85.48</w:t>
            </w:r>
          </w:p>
        </w:tc>
        <w:tc>
          <w:tcPr>
            <w:tcW w:w="3585" w:type="dxa"/>
            <w:tcBorders>
              <w:top w:val="nil"/>
              <w:left w:val="nil"/>
              <w:bottom w:val="single" w:sz="4" w:space="0" w:color="auto"/>
              <w:right w:val="single" w:sz="4" w:space="0" w:color="auto"/>
            </w:tcBorders>
            <w:shd w:val="clear" w:color="auto" w:fill="auto"/>
            <w:vAlign w:val="center"/>
            <w:hideMark/>
          </w:tcPr>
          <w:p w:rsidR="007B6F55" w:rsidRPr="007B6F55" w:rsidRDefault="007B6F55" w:rsidP="007B6F55">
            <w:pPr>
              <w:spacing w:after="0" w:line="240" w:lineRule="auto"/>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ДВУСТОРОННЯЯ РАСШИРЕННАЯ РАДИКАЛЬНАЯ МАСТЭКТОМИЯ</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4</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780 478</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 </w:t>
            </w:r>
          </w:p>
        </w:tc>
        <w:tc>
          <w:tcPr>
            <w:tcW w:w="3585" w:type="dxa"/>
            <w:tcBorders>
              <w:top w:val="nil"/>
              <w:left w:val="nil"/>
              <w:bottom w:val="single" w:sz="4" w:space="0" w:color="auto"/>
              <w:right w:val="single" w:sz="4" w:space="0" w:color="auto"/>
            </w:tcBorders>
            <w:shd w:val="clear" w:color="auto" w:fill="auto"/>
            <w:vAlign w:val="bottom"/>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ИТОГО</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216 243</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11</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47 992 332 263</w:t>
            </w:r>
          </w:p>
        </w:tc>
      </w:tr>
      <w:tr w:rsidR="007B6F55" w:rsidRPr="007B6F55" w:rsidTr="007B6F55">
        <w:trPr>
          <w:trHeight w:val="3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c>
          <w:tcPr>
            <w:tcW w:w="809"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color w:val="000000"/>
                <w:sz w:val="20"/>
                <w:szCs w:val="20"/>
                <w:lang w:eastAsia="ru-RU"/>
              </w:rPr>
            </w:pPr>
            <w:r w:rsidRPr="007B6F55">
              <w:rPr>
                <w:rFonts w:ascii="Arial Narrow" w:eastAsia="Times New Roman" w:hAnsi="Arial Narrow" w:cs="Calibri"/>
                <w:color w:val="000000"/>
                <w:sz w:val="20"/>
                <w:szCs w:val="20"/>
                <w:lang w:eastAsia="ru-RU"/>
              </w:rPr>
              <w:t> </w:t>
            </w:r>
          </w:p>
        </w:tc>
        <w:tc>
          <w:tcPr>
            <w:tcW w:w="3585" w:type="dxa"/>
            <w:tcBorders>
              <w:top w:val="nil"/>
              <w:left w:val="nil"/>
              <w:bottom w:val="single" w:sz="4" w:space="0" w:color="auto"/>
              <w:right w:val="single" w:sz="4" w:space="0" w:color="auto"/>
            </w:tcBorders>
            <w:shd w:val="clear" w:color="auto" w:fill="auto"/>
            <w:vAlign w:val="bottom"/>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c>
          <w:tcPr>
            <w:tcW w:w="1181"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c>
          <w:tcPr>
            <w:tcW w:w="1374"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c>
          <w:tcPr>
            <w:tcW w:w="1698" w:type="dxa"/>
            <w:tcBorders>
              <w:top w:val="nil"/>
              <w:left w:val="nil"/>
              <w:bottom w:val="single" w:sz="4" w:space="0" w:color="auto"/>
              <w:right w:val="single" w:sz="4" w:space="0" w:color="auto"/>
            </w:tcBorders>
            <w:shd w:val="clear" w:color="auto" w:fill="auto"/>
            <w:noWrap/>
            <w:vAlign w:val="center"/>
            <w:hideMark/>
          </w:tcPr>
          <w:p w:rsidR="007B6F55" w:rsidRPr="007B6F55" w:rsidRDefault="007B6F55" w:rsidP="007B6F55">
            <w:pPr>
              <w:spacing w:after="0" w:line="240" w:lineRule="auto"/>
              <w:jc w:val="center"/>
              <w:rPr>
                <w:rFonts w:ascii="Arial Narrow" w:eastAsia="Times New Roman" w:hAnsi="Arial Narrow" w:cs="Calibri"/>
                <w:b/>
                <w:bCs/>
                <w:color w:val="000000"/>
                <w:sz w:val="20"/>
                <w:szCs w:val="20"/>
                <w:lang w:eastAsia="ru-RU"/>
              </w:rPr>
            </w:pPr>
            <w:r w:rsidRPr="007B6F55">
              <w:rPr>
                <w:rFonts w:ascii="Arial Narrow" w:eastAsia="Times New Roman" w:hAnsi="Arial Narrow" w:cs="Calibri"/>
                <w:b/>
                <w:bCs/>
                <w:color w:val="000000"/>
                <w:sz w:val="20"/>
                <w:szCs w:val="20"/>
                <w:lang w:eastAsia="ru-RU"/>
              </w:rPr>
              <w:t> </w:t>
            </w:r>
          </w:p>
        </w:tc>
      </w:tr>
    </w:tbl>
    <w:p w:rsidR="007B6F55" w:rsidRDefault="007B6F55" w:rsidP="00A16C6A">
      <w:pPr>
        <w:rPr>
          <w:rFonts w:ascii="Times New Roman" w:hAnsi="Times New Roman" w:cs="Times New Roman"/>
          <w:b/>
          <w:color w:val="000000" w:themeColor="text1"/>
          <w:sz w:val="28"/>
          <w:szCs w:val="28"/>
        </w:rPr>
        <w:sectPr w:rsidR="007B6F55" w:rsidSect="00D41949">
          <w:footerReference w:type="default" r:id="rId24"/>
          <w:pgSz w:w="11906" w:h="16838"/>
          <w:pgMar w:top="1134" w:right="850" w:bottom="1134" w:left="1701" w:header="708" w:footer="708" w:gutter="0"/>
          <w:cols w:space="708"/>
          <w:docGrid w:linePitch="360"/>
        </w:sectPr>
      </w:pPr>
    </w:p>
    <w:p w:rsidR="001C6FEA" w:rsidRPr="001C6FEA" w:rsidRDefault="00CB07B8" w:rsidP="001C6FEA">
      <w:pPr>
        <w:autoSpaceDE w:val="0"/>
        <w:autoSpaceDN w:val="0"/>
        <w:adjustRightInd w:val="0"/>
        <w:spacing w:after="0" w:line="240" w:lineRule="auto"/>
        <w:jc w:val="right"/>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Приложение 3</w:t>
      </w:r>
    </w:p>
    <w:p w:rsidR="00C21302" w:rsidRDefault="00C21302" w:rsidP="001C6FEA">
      <w:pPr>
        <w:autoSpaceDE w:val="0"/>
        <w:autoSpaceDN w:val="0"/>
        <w:adjustRightInd w:val="0"/>
        <w:spacing w:after="0" w:line="240" w:lineRule="auto"/>
        <w:jc w:val="center"/>
        <w:rPr>
          <w:rFonts w:ascii="Times New Roman" w:hAnsi="Times New Roman" w:cs="Times New Roman"/>
          <w:b/>
          <w:color w:val="000000" w:themeColor="text1"/>
          <w:sz w:val="28"/>
          <w:szCs w:val="28"/>
        </w:rPr>
      </w:pPr>
    </w:p>
    <w:p w:rsidR="001C6FEA" w:rsidRPr="001C6FEA" w:rsidRDefault="001C6FEA" w:rsidP="001C6FEA">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1C6FEA">
        <w:rPr>
          <w:rFonts w:ascii="Times New Roman" w:hAnsi="Times New Roman" w:cs="Times New Roman"/>
          <w:b/>
          <w:color w:val="000000" w:themeColor="text1"/>
          <w:sz w:val="28"/>
          <w:szCs w:val="28"/>
        </w:rPr>
        <w:t>Расчет паритета покупательной способности для сравнения стоимости пролеченного случая по стационару для Казахстана и ОЭСР</w:t>
      </w:r>
    </w:p>
    <w:p w:rsidR="005647FE" w:rsidRPr="001C6FEA" w:rsidRDefault="005647FE" w:rsidP="001C6FEA">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p>
    <w:tbl>
      <w:tblPr>
        <w:tblW w:w="15461" w:type="dxa"/>
        <w:tblInd w:w="98" w:type="dxa"/>
        <w:tblLayout w:type="fixed"/>
        <w:tblLook w:val="04A0" w:firstRow="1" w:lastRow="0" w:firstColumn="1" w:lastColumn="0" w:noHBand="0" w:noVBand="1"/>
      </w:tblPr>
      <w:tblGrid>
        <w:gridCol w:w="600"/>
        <w:gridCol w:w="1962"/>
        <w:gridCol w:w="1140"/>
        <w:gridCol w:w="1360"/>
        <w:gridCol w:w="905"/>
        <w:gridCol w:w="867"/>
        <w:gridCol w:w="963"/>
        <w:gridCol w:w="880"/>
        <w:gridCol w:w="905"/>
        <w:gridCol w:w="654"/>
        <w:gridCol w:w="985"/>
        <w:gridCol w:w="716"/>
        <w:gridCol w:w="960"/>
        <w:gridCol w:w="1592"/>
        <w:gridCol w:w="972"/>
      </w:tblGrid>
      <w:tr w:rsidR="00C21302" w:rsidRPr="00C21302" w:rsidTr="00C21302">
        <w:trPr>
          <w:trHeight w:val="765"/>
        </w:trPr>
        <w:tc>
          <w:tcPr>
            <w:tcW w:w="60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w:t>
            </w:r>
          </w:p>
        </w:tc>
        <w:tc>
          <w:tcPr>
            <w:tcW w:w="196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Тип случая</w:t>
            </w:r>
          </w:p>
        </w:tc>
        <w:tc>
          <w:tcPr>
            <w:tcW w:w="2500" w:type="dxa"/>
            <w:gridSpan w:val="2"/>
            <w:tcBorders>
              <w:top w:val="single" w:sz="8" w:space="0" w:color="auto"/>
              <w:left w:val="nil"/>
              <w:bottom w:val="single" w:sz="4" w:space="0" w:color="auto"/>
              <w:right w:val="single" w:sz="4" w:space="0" w:color="auto"/>
            </w:tcBorders>
            <w:shd w:val="clear" w:color="auto" w:fill="auto"/>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Стоимость 1 пролеченного случая</w:t>
            </w:r>
          </w:p>
        </w:tc>
        <w:tc>
          <w:tcPr>
            <w:tcW w:w="1772" w:type="dxa"/>
            <w:gridSpan w:val="2"/>
            <w:tcBorders>
              <w:top w:val="single" w:sz="8" w:space="0" w:color="auto"/>
              <w:left w:val="nil"/>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Индекс Ласпейреса</w:t>
            </w:r>
          </w:p>
        </w:tc>
        <w:tc>
          <w:tcPr>
            <w:tcW w:w="1843" w:type="dxa"/>
            <w:gridSpan w:val="2"/>
            <w:tcBorders>
              <w:top w:val="single" w:sz="8" w:space="0" w:color="auto"/>
              <w:left w:val="nil"/>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Обратное соотношение</w:t>
            </w:r>
          </w:p>
        </w:tc>
        <w:tc>
          <w:tcPr>
            <w:tcW w:w="1559" w:type="dxa"/>
            <w:gridSpan w:val="2"/>
            <w:tcBorders>
              <w:top w:val="single" w:sz="8" w:space="0" w:color="auto"/>
              <w:left w:val="nil"/>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Индекс Пааше</w:t>
            </w:r>
          </w:p>
        </w:tc>
        <w:tc>
          <w:tcPr>
            <w:tcW w:w="1701" w:type="dxa"/>
            <w:gridSpan w:val="2"/>
            <w:tcBorders>
              <w:top w:val="single" w:sz="8" w:space="0" w:color="auto"/>
              <w:left w:val="nil"/>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Индекс Фишера</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EKS оценки</w:t>
            </w:r>
          </w:p>
        </w:tc>
        <w:tc>
          <w:tcPr>
            <w:tcW w:w="15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Стоимость 1 пролеченного случая для Казахстана по ППС в евро</w:t>
            </w:r>
          </w:p>
        </w:tc>
        <w:tc>
          <w:tcPr>
            <w:tcW w:w="972"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Отклонение</w:t>
            </w:r>
          </w:p>
        </w:tc>
      </w:tr>
      <w:tr w:rsidR="00C21302" w:rsidRPr="00C21302" w:rsidTr="00C21302">
        <w:trPr>
          <w:trHeight w:val="750"/>
        </w:trPr>
        <w:tc>
          <w:tcPr>
            <w:tcW w:w="600" w:type="dxa"/>
            <w:vMerge/>
            <w:tcBorders>
              <w:top w:val="single" w:sz="8" w:space="0" w:color="auto"/>
              <w:left w:val="single" w:sz="8" w:space="0" w:color="auto"/>
              <w:bottom w:val="single" w:sz="8" w:space="0" w:color="000000"/>
              <w:right w:val="single" w:sz="4" w:space="0" w:color="auto"/>
            </w:tcBorders>
            <w:vAlign w:val="center"/>
            <w:hideMark/>
          </w:tcPr>
          <w:p w:rsidR="00C21302" w:rsidRPr="00C21302" w:rsidRDefault="00C21302" w:rsidP="00C21302">
            <w:pPr>
              <w:spacing w:after="0" w:line="240" w:lineRule="auto"/>
              <w:rPr>
                <w:rFonts w:ascii="Times New Roman" w:eastAsia="Times New Roman" w:hAnsi="Times New Roman" w:cs="Times New Roman"/>
                <w:b/>
                <w:bCs/>
                <w:color w:val="000000"/>
                <w:lang w:eastAsia="ru-RU"/>
              </w:rPr>
            </w:pPr>
          </w:p>
        </w:tc>
        <w:tc>
          <w:tcPr>
            <w:tcW w:w="1962" w:type="dxa"/>
            <w:vMerge/>
            <w:tcBorders>
              <w:top w:val="single" w:sz="8" w:space="0" w:color="auto"/>
              <w:left w:val="single" w:sz="4" w:space="0" w:color="auto"/>
              <w:bottom w:val="single" w:sz="8" w:space="0" w:color="000000"/>
              <w:right w:val="single" w:sz="4" w:space="0" w:color="auto"/>
            </w:tcBorders>
            <w:vAlign w:val="center"/>
            <w:hideMark/>
          </w:tcPr>
          <w:p w:rsidR="00C21302" w:rsidRPr="00C21302" w:rsidRDefault="00C21302" w:rsidP="00C21302">
            <w:pPr>
              <w:spacing w:after="0" w:line="240" w:lineRule="auto"/>
              <w:rPr>
                <w:rFonts w:ascii="Times New Roman" w:eastAsia="Times New Roman" w:hAnsi="Times New Roman" w:cs="Times New Roman"/>
                <w:b/>
                <w:bCs/>
                <w:color w:val="000000"/>
                <w:lang w:eastAsia="ru-RU"/>
              </w:rPr>
            </w:pPr>
          </w:p>
        </w:tc>
        <w:tc>
          <w:tcPr>
            <w:tcW w:w="1140" w:type="dxa"/>
            <w:tcBorders>
              <w:top w:val="nil"/>
              <w:left w:val="nil"/>
              <w:bottom w:val="single" w:sz="8" w:space="0" w:color="auto"/>
              <w:right w:val="single" w:sz="4" w:space="0" w:color="auto"/>
            </w:tcBorders>
            <w:shd w:val="clear" w:color="auto" w:fill="auto"/>
            <w:vAlign w:val="center"/>
            <w:hideMark/>
          </w:tcPr>
          <w:p w:rsidR="00C21302" w:rsidRPr="00C21302" w:rsidRDefault="00C21302" w:rsidP="00C21302">
            <w:pPr>
              <w:spacing w:after="0" w:line="240" w:lineRule="auto"/>
              <w:jc w:val="center"/>
              <w:rPr>
                <w:rFonts w:ascii="Times New Roman" w:eastAsia="Times New Roman" w:hAnsi="Times New Roman" w:cs="Times New Roman"/>
                <w:b/>
                <w:bCs/>
                <w:i/>
                <w:iCs/>
                <w:color w:val="000000"/>
                <w:lang w:eastAsia="ru-RU"/>
              </w:rPr>
            </w:pPr>
            <w:r w:rsidRPr="00C21302">
              <w:rPr>
                <w:rFonts w:ascii="Times New Roman" w:eastAsia="Times New Roman" w:hAnsi="Times New Roman" w:cs="Times New Roman"/>
                <w:b/>
                <w:bCs/>
                <w:i/>
                <w:iCs/>
                <w:color w:val="000000"/>
                <w:lang w:eastAsia="ru-RU"/>
              </w:rPr>
              <w:t>ОЭСР, евро</w:t>
            </w:r>
          </w:p>
        </w:tc>
        <w:tc>
          <w:tcPr>
            <w:tcW w:w="1360" w:type="dxa"/>
            <w:tcBorders>
              <w:top w:val="nil"/>
              <w:left w:val="nil"/>
              <w:bottom w:val="single" w:sz="8" w:space="0" w:color="auto"/>
              <w:right w:val="single" w:sz="4" w:space="0" w:color="auto"/>
            </w:tcBorders>
            <w:shd w:val="clear" w:color="auto" w:fill="auto"/>
            <w:vAlign w:val="center"/>
            <w:hideMark/>
          </w:tcPr>
          <w:p w:rsidR="00C21302" w:rsidRPr="00C21302" w:rsidRDefault="00C21302" w:rsidP="00C21302">
            <w:pPr>
              <w:spacing w:after="0" w:line="240" w:lineRule="auto"/>
              <w:jc w:val="center"/>
              <w:rPr>
                <w:rFonts w:ascii="Times New Roman" w:eastAsia="Times New Roman" w:hAnsi="Times New Roman" w:cs="Times New Roman"/>
                <w:b/>
                <w:bCs/>
                <w:i/>
                <w:iCs/>
                <w:color w:val="000000"/>
                <w:lang w:eastAsia="ru-RU"/>
              </w:rPr>
            </w:pPr>
            <w:r w:rsidRPr="00C21302">
              <w:rPr>
                <w:rFonts w:ascii="Times New Roman" w:eastAsia="Times New Roman" w:hAnsi="Times New Roman" w:cs="Times New Roman"/>
                <w:b/>
                <w:bCs/>
                <w:i/>
                <w:iCs/>
                <w:color w:val="000000"/>
                <w:lang w:eastAsia="ru-RU"/>
              </w:rPr>
              <w:t>Казахстан, тенге</w:t>
            </w:r>
          </w:p>
        </w:tc>
        <w:tc>
          <w:tcPr>
            <w:tcW w:w="905"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sidRPr="00C21302">
              <w:rPr>
                <w:rFonts w:ascii="Times New Roman" w:eastAsia="Times New Roman" w:hAnsi="Times New Roman" w:cs="Times New Roman"/>
                <w:i/>
                <w:iCs/>
                <w:color w:val="000000"/>
                <w:lang w:eastAsia="ru-RU"/>
              </w:rPr>
              <w:t>ОЭСР</w:t>
            </w:r>
          </w:p>
        </w:tc>
        <w:tc>
          <w:tcPr>
            <w:tcW w:w="867"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РК</w:t>
            </w:r>
          </w:p>
        </w:tc>
        <w:tc>
          <w:tcPr>
            <w:tcW w:w="963"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sidRPr="00C21302">
              <w:rPr>
                <w:rFonts w:ascii="Times New Roman" w:eastAsia="Times New Roman" w:hAnsi="Times New Roman" w:cs="Times New Roman"/>
                <w:i/>
                <w:iCs/>
                <w:color w:val="000000"/>
                <w:lang w:eastAsia="ru-RU"/>
              </w:rPr>
              <w:t>ОЭСР</w:t>
            </w:r>
          </w:p>
        </w:tc>
        <w:tc>
          <w:tcPr>
            <w:tcW w:w="880"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РК</w:t>
            </w:r>
          </w:p>
        </w:tc>
        <w:tc>
          <w:tcPr>
            <w:tcW w:w="905"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sidRPr="00C21302">
              <w:rPr>
                <w:rFonts w:ascii="Times New Roman" w:eastAsia="Times New Roman" w:hAnsi="Times New Roman" w:cs="Times New Roman"/>
                <w:i/>
                <w:iCs/>
                <w:color w:val="000000"/>
                <w:lang w:eastAsia="ru-RU"/>
              </w:rPr>
              <w:t>ОЭСР</w:t>
            </w:r>
          </w:p>
        </w:tc>
        <w:tc>
          <w:tcPr>
            <w:tcW w:w="654"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РК</w:t>
            </w:r>
          </w:p>
        </w:tc>
        <w:tc>
          <w:tcPr>
            <w:tcW w:w="985"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sidRPr="00C21302">
              <w:rPr>
                <w:rFonts w:ascii="Times New Roman" w:eastAsia="Times New Roman" w:hAnsi="Times New Roman" w:cs="Times New Roman"/>
                <w:i/>
                <w:iCs/>
                <w:color w:val="000000"/>
                <w:lang w:eastAsia="ru-RU"/>
              </w:rPr>
              <w:t>ОЭСР</w:t>
            </w:r>
          </w:p>
        </w:tc>
        <w:tc>
          <w:tcPr>
            <w:tcW w:w="716" w:type="dxa"/>
            <w:tcBorders>
              <w:top w:val="nil"/>
              <w:left w:val="nil"/>
              <w:bottom w:val="single" w:sz="8"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РК</w:t>
            </w:r>
          </w:p>
        </w:tc>
        <w:tc>
          <w:tcPr>
            <w:tcW w:w="960" w:type="dxa"/>
            <w:vMerge/>
            <w:tcBorders>
              <w:top w:val="single" w:sz="8" w:space="0" w:color="auto"/>
              <w:left w:val="single" w:sz="4" w:space="0" w:color="auto"/>
              <w:bottom w:val="single" w:sz="8" w:space="0" w:color="000000"/>
              <w:right w:val="single" w:sz="4" w:space="0" w:color="auto"/>
            </w:tcBorders>
            <w:vAlign w:val="center"/>
            <w:hideMark/>
          </w:tcPr>
          <w:p w:rsidR="00C21302" w:rsidRPr="00C21302" w:rsidRDefault="00C21302" w:rsidP="00C21302">
            <w:pPr>
              <w:spacing w:after="0" w:line="240" w:lineRule="auto"/>
              <w:rPr>
                <w:rFonts w:ascii="Times New Roman" w:eastAsia="Times New Roman" w:hAnsi="Times New Roman" w:cs="Times New Roman"/>
                <w:b/>
                <w:bCs/>
                <w:color w:val="000000"/>
                <w:lang w:eastAsia="ru-RU"/>
              </w:rPr>
            </w:pPr>
          </w:p>
        </w:tc>
        <w:tc>
          <w:tcPr>
            <w:tcW w:w="1592" w:type="dxa"/>
            <w:vMerge/>
            <w:tcBorders>
              <w:top w:val="single" w:sz="8" w:space="0" w:color="auto"/>
              <w:left w:val="single" w:sz="4" w:space="0" w:color="auto"/>
              <w:bottom w:val="single" w:sz="8" w:space="0" w:color="000000"/>
              <w:right w:val="single" w:sz="4" w:space="0" w:color="auto"/>
            </w:tcBorders>
            <w:vAlign w:val="center"/>
            <w:hideMark/>
          </w:tcPr>
          <w:p w:rsidR="00C21302" w:rsidRPr="00C21302" w:rsidRDefault="00C21302" w:rsidP="00C21302">
            <w:pPr>
              <w:spacing w:after="0" w:line="240" w:lineRule="auto"/>
              <w:rPr>
                <w:rFonts w:ascii="Times New Roman" w:eastAsia="Times New Roman" w:hAnsi="Times New Roman" w:cs="Times New Roman"/>
                <w:b/>
                <w:bCs/>
                <w:color w:val="000000"/>
                <w:lang w:eastAsia="ru-RU"/>
              </w:rPr>
            </w:pPr>
          </w:p>
        </w:tc>
        <w:tc>
          <w:tcPr>
            <w:tcW w:w="972" w:type="dxa"/>
            <w:vMerge/>
            <w:tcBorders>
              <w:top w:val="single" w:sz="8" w:space="0" w:color="auto"/>
              <w:left w:val="single" w:sz="4" w:space="0" w:color="auto"/>
              <w:bottom w:val="single" w:sz="8" w:space="0" w:color="000000"/>
              <w:right w:val="single" w:sz="8" w:space="0" w:color="auto"/>
            </w:tcBorders>
            <w:vAlign w:val="center"/>
            <w:hideMark/>
          </w:tcPr>
          <w:p w:rsidR="00C21302" w:rsidRPr="00C21302" w:rsidRDefault="00C21302" w:rsidP="00C21302">
            <w:pPr>
              <w:spacing w:after="0" w:line="240" w:lineRule="auto"/>
              <w:rPr>
                <w:rFonts w:ascii="Times New Roman" w:eastAsia="Times New Roman" w:hAnsi="Times New Roman" w:cs="Times New Roman"/>
                <w:b/>
                <w:bCs/>
                <w:color w:val="000000"/>
                <w:lang w:eastAsia="ru-RU"/>
              </w:rPr>
            </w:pPr>
          </w:p>
        </w:tc>
      </w:tr>
      <w:tr w:rsidR="00C21302" w:rsidRPr="00C21302" w:rsidTr="00C21302">
        <w:trPr>
          <w:trHeight w:val="600"/>
        </w:trPr>
        <w:tc>
          <w:tcPr>
            <w:tcW w:w="600" w:type="dxa"/>
            <w:tcBorders>
              <w:top w:val="nil"/>
              <w:left w:val="single" w:sz="8" w:space="0" w:color="auto"/>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М01 Острый инфаркт миокарда</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3 170</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69 981</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22,1</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22,07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22,1</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22,1</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0,002</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0,21</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14 895</w:t>
            </w:r>
          </w:p>
        </w:tc>
        <w:tc>
          <w:tcPr>
            <w:tcW w:w="972" w:type="dxa"/>
            <w:tcBorders>
              <w:top w:val="nil"/>
              <w:left w:val="single" w:sz="4" w:space="0" w:color="auto"/>
              <w:bottom w:val="single" w:sz="4" w:space="0" w:color="auto"/>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4,70</w:t>
            </w:r>
          </w:p>
        </w:tc>
      </w:tr>
      <w:tr w:rsidR="00C21302" w:rsidRPr="00C21302" w:rsidTr="00C21302">
        <w:trPr>
          <w:trHeight w:val="300"/>
        </w:trPr>
        <w:tc>
          <w:tcPr>
            <w:tcW w:w="600" w:type="dxa"/>
            <w:tcBorders>
              <w:top w:val="nil"/>
              <w:left w:val="single" w:sz="8" w:space="0" w:color="auto"/>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М02 Стенокардия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1 869</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38 086</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20,4</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20,38</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20,4</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20,4</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0,002</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0,22</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8 436</w:t>
            </w:r>
          </w:p>
        </w:tc>
        <w:tc>
          <w:tcPr>
            <w:tcW w:w="972" w:type="dxa"/>
            <w:tcBorders>
              <w:top w:val="nil"/>
              <w:left w:val="single" w:sz="4" w:space="0" w:color="auto"/>
              <w:bottom w:val="single" w:sz="4" w:space="0" w:color="auto"/>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4,51</w:t>
            </w:r>
          </w:p>
        </w:tc>
      </w:tr>
      <w:tr w:rsidR="00C21302" w:rsidRPr="00C21302" w:rsidTr="00C21302">
        <w:trPr>
          <w:trHeight w:val="300"/>
        </w:trPr>
        <w:tc>
          <w:tcPr>
            <w:tcW w:w="600" w:type="dxa"/>
            <w:tcBorders>
              <w:top w:val="nil"/>
              <w:left w:val="single" w:sz="8" w:space="0" w:color="auto"/>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М03 Холестилиаз</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1 677</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14 854</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8,9</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0,11</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0,11</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8,86</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8,9</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0,11</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8,9</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0,013</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0,34</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4 991</w:t>
            </w:r>
          </w:p>
        </w:tc>
        <w:tc>
          <w:tcPr>
            <w:tcW w:w="972" w:type="dxa"/>
            <w:tcBorders>
              <w:top w:val="nil"/>
              <w:left w:val="single" w:sz="4" w:space="0" w:color="auto"/>
              <w:bottom w:val="single" w:sz="4" w:space="0" w:color="auto"/>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2,98</w:t>
            </w:r>
          </w:p>
        </w:tc>
      </w:tr>
      <w:tr w:rsidR="00C21302" w:rsidRPr="00C21302" w:rsidTr="00C21302">
        <w:trPr>
          <w:trHeight w:val="600"/>
        </w:trPr>
        <w:tc>
          <w:tcPr>
            <w:tcW w:w="600" w:type="dxa"/>
            <w:tcBorders>
              <w:top w:val="nil"/>
              <w:left w:val="single" w:sz="8" w:space="0" w:color="auto"/>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М04 Сердечная недостаточность</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2 728</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18 418</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6,8</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0,15</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0,15</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6,75</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6,8</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0,15</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6,8</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0,022</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0,38</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7 089</w:t>
            </w:r>
          </w:p>
        </w:tc>
        <w:tc>
          <w:tcPr>
            <w:tcW w:w="972" w:type="dxa"/>
            <w:tcBorders>
              <w:top w:val="nil"/>
              <w:left w:val="single" w:sz="4" w:space="0" w:color="auto"/>
              <w:bottom w:val="single" w:sz="4" w:space="0" w:color="auto"/>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2,60</w:t>
            </w:r>
          </w:p>
        </w:tc>
      </w:tr>
      <w:tr w:rsidR="00C21302" w:rsidRPr="00C21302" w:rsidTr="00C21302">
        <w:trPr>
          <w:trHeight w:val="600"/>
        </w:trPr>
        <w:tc>
          <w:tcPr>
            <w:tcW w:w="600" w:type="dxa"/>
            <w:tcBorders>
              <w:top w:val="nil"/>
              <w:left w:val="single" w:sz="8" w:space="0" w:color="auto"/>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М05 Злокачественные образования бронхов и легких</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2 377</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23 678</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10,0</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0,10</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0,10</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9,96</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10,0</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0,10</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10,0</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0,010</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0,32</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7 501</w:t>
            </w:r>
          </w:p>
        </w:tc>
        <w:tc>
          <w:tcPr>
            <w:tcW w:w="972" w:type="dxa"/>
            <w:tcBorders>
              <w:top w:val="nil"/>
              <w:left w:val="single" w:sz="4" w:space="0" w:color="auto"/>
              <w:bottom w:val="single" w:sz="4" w:space="0" w:color="auto"/>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3,16</w:t>
            </w:r>
          </w:p>
        </w:tc>
      </w:tr>
      <w:tr w:rsidR="00C21302" w:rsidRPr="00C21302" w:rsidTr="00C21302">
        <w:trPr>
          <w:trHeight w:val="300"/>
        </w:trPr>
        <w:tc>
          <w:tcPr>
            <w:tcW w:w="600" w:type="dxa"/>
            <w:tcBorders>
              <w:top w:val="nil"/>
              <w:left w:val="single" w:sz="8" w:space="0" w:color="auto"/>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М06 Самопроизвольные роды</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1 458</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18 107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12,4</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0,08</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0,08</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12,42</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12,4</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0,08</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12,4</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0,006</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0,28</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5 137</w:t>
            </w:r>
          </w:p>
        </w:tc>
        <w:tc>
          <w:tcPr>
            <w:tcW w:w="972" w:type="dxa"/>
            <w:tcBorders>
              <w:top w:val="nil"/>
              <w:left w:val="single" w:sz="4" w:space="0" w:color="auto"/>
              <w:bottom w:val="single" w:sz="4" w:space="0" w:color="auto"/>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3,52</w:t>
            </w:r>
          </w:p>
        </w:tc>
      </w:tr>
      <w:tr w:rsidR="00C21302" w:rsidRPr="00C21302" w:rsidTr="00C21302">
        <w:trPr>
          <w:trHeight w:val="315"/>
        </w:trPr>
        <w:tc>
          <w:tcPr>
            <w:tcW w:w="600" w:type="dxa"/>
            <w:tcBorders>
              <w:top w:val="nil"/>
              <w:left w:val="single" w:sz="8" w:space="0" w:color="auto"/>
              <w:bottom w:val="single" w:sz="8" w:space="0" w:color="auto"/>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w:t>
            </w:r>
          </w:p>
        </w:tc>
        <w:tc>
          <w:tcPr>
            <w:tcW w:w="1962" w:type="dxa"/>
            <w:tcBorders>
              <w:top w:val="nil"/>
              <w:left w:val="nil"/>
              <w:bottom w:val="single" w:sz="8" w:space="0" w:color="auto"/>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М07 Пневмония</w:t>
            </w:r>
          </w:p>
        </w:tc>
        <w:tc>
          <w:tcPr>
            <w:tcW w:w="1140" w:type="dxa"/>
            <w:tcBorders>
              <w:top w:val="nil"/>
              <w:left w:val="nil"/>
              <w:bottom w:val="single" w:sz="8" w:space="0" w:color="auto"/>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2 580</w:t>
            </w:r>
          </w:p>
        </w:tc>
        <w:tc>
          <w:tcPr>
            <w:tcW w:w="1360" w:type="dxa"/>
            <w:tcBorders>
              <w:top w:val="nil"/>
              <w:left w:val="nil"/>
              <w:bottom w:val="single" w:sz="8" w:space="0" w:color="auto"/>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11 774</w:t>
            </w:r>
          </w:p>
        </w:tc>
        <w:tc>
          <w:tcPr>
            <w:tcW w:w="905"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4,6</w:t>
            </w:r>
          </w:p>
        </w:tc>
        <w:tc>
          <w:tcPr>
            <w:tcW w:w="867"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0,22</w:t>
            </w:r>
          </w:p>
        </w:tc>
        <w:tc>
          <w:tcPr>
            <w:tcW w:w="963"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0,22</w:t>
            </w:r>
          </w:p>
        </w:tc>
        <w:tc>
          <w:tcPr>
            <w:tcW w:w="880"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4,56</w:t>
            </w:r>
          </w:p>
        </w:tc>
        <w:tc>
          <w:tcPr>
            <w:tcW w:w="905"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4,6</w:t>
            </w:r>
          </w:p>
        </w:tc>
        <w:tc>
          <w:tcPr>
            <w:tcW w:w="654"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0,22</w:t>
            </w:r>
          </w:p>
        </w:tc>
        <w:tc>
          <w:tcPr>
            <w:tcW w:w="985"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4,6</w:t>
            </w:r>
          </w:p>
        </w:tc>
        <w:tc>
          <w:tcPr>
            <w:tcW w:w="716" w:type="dxa"/>
            <w:tcBorders>
              <w:top w:val="nil"/>
              <w:left w:val="nil"/>
              <w:bottom w:val="single" w:sz="8" w:space="0" w:color="auto"/>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0,048</w:t>
            </w:r>
          </w:p>
        </w:tc>
        <w:tc>
          <w:tcPr>
            <w:tcW w:w="960" w:type="dxa"/>
            <w:tcBorders>
              <w:top w:val="nil"/>
              <w:left w:val="nil"/>
              <w:bottom w:val="single" w:sz="8" w:space="0" w:color="auto"/>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0,47</w:t>
            </w:r>
          </w:p>
        </w:tc>
        <w:tc>
          <w:tcPr>
            <w:tcW w:w="1592" w:type="dxa"/>
            <w:tcBorders>
              <w:top w:val="nil"/>
              <w:left w:val="nil"/>
              <w:bottom w:val="single" w:sz="8" w:space="0" w:color="auto"/>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5 512</w:t>
            </w:r>
          </w:p>
        </w:tc>
        <w:tc>
          <w:tcPr>
            <w:tcW w:w="972" w:type="dxa"/>
            <w:tcBorders>
              <w:top w:val="nil"/>
              <w:left w:val="single" w:sz="4" w:space="0" w:color="auto"/>
              <w:bottom w:val="single" w:sz="8" w:space="0" w:color="auto"/>
              <w:right w:val="single" w:sz="8"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2,14</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S01 Аппендэктомия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3 223</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12 768</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4,0</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0,25</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0,25</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3,96</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4,0</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0,25</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4,0</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0,064</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0,50</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6 415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1,99</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S02 Кесарево сечение</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3 112</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18 338</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5,9</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0,17</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0,17</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5,89</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5,9</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0,17</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5,9</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0,029</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0,41</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7 555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2,43</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S03 Холецистэктомия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2 697</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15 154</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5,6</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0,18</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0,18</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5,62</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5,6</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0,18</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5,6</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0,032</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0,42</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6 392</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2,37</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lastRenderedPageBreak/>
              <w:t>4</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S04 Колоректальная резекция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7 134</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9 265</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0,77</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0,77</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1,30</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0,77</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0,593</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0,88</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8 130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1,14</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S05 Шунтирование коронарной артерии</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13 015</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80 541</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6,2</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0,16</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0,16</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6,19</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6,2</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0,16</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6,2</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0,026</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0,40</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32 376</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2,49</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S06 Диссектомия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3 447</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20 223</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5,9</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0,17</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0,17</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5,87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5,9</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0,17</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5,9</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0,029</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0,41</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8 349</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2,42</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S07 Эндартерэктомия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5 579</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36 099</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6,5</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0,15</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0,15</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6,47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6,5</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0,15</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6,5</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0,024</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0,39</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14 191</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2,54</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S08 Замена тазобедренного сустава: общая и частичная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6 701</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77 044</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11,5</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0,09</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0,09</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11,50</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11,5</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0,09</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11,5</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0,008</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0,29</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22 722</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3,39</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9</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S09Гистерэктомия: брюшная или вагинальная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3 450</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60 285</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17,5</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0,06</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0,06</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17,47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17,5</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0,06</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17,5</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0,003</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0,24</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14 422</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4,18</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10</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S10 Замена коленного сустава</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6 505</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87 684</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13,5</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0,07</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0,07</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13,48</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13,5</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0,07</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13,5</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0,006</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0,27</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23 883</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3,67</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S11 Мастэктомия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3 795</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11 635</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3,1</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0,33</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0,33</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3,07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3,1</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0,33</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3,1</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0,106</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0,57</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6 645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1,75</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12</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S12 Открытая простатэктомия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5 276</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8 762</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0,60</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0,60</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1,66</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0,60</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0,363</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0,78</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6 799</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1,29</w:t>
            </w:r>
          </w:p>
        </w:tc>
      </w:tr>
      <w:tr w:rsidR="00C21302" w:rsidRPr="00C21302" w:rsidTr="00C21302">
        <w:trPr>
          <w:trHeight w:val="9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S13Чрескожная транслюминальная коронарная ангиопластика</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5 102</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98 824</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19,4</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19,37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19,4</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0,05</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19,4</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0,003</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0,23</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22 454</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4,40</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15</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S15 Ремонт паховой грыжи</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1 849</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13 005</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7,0</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0,14</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0,14</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7,03</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7,0</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0,14</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7,0</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0,020</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0,38</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4 903</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2,65</w:t>
            </w:r>
          </w:p>
        </w:tc>
      </w:tr>
      <w:tr w:rsidR="00C21302" w:rsidRPr="00C21302" w:rsidTr="00C21302">
        <w:trPr>
          <w:trHeight w:val="3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16</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S16 Тиреоидэктомия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3 159</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15 551</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4,9</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0,20</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0,20</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4,92</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4,9</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0,20</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4,9</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0,041</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0,45</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7 009</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2,22</w:t>
            </w:r>
          </w:p>
        </w:tc>
      </w:tr>
      <w:tr w:rsidR="00C21302" w:rsidRPr="00C21302" w:rsidTr="00C21302">
        <w:trPr>
          <w:trHeight w:val="9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17</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 xml:space="preserve">S17Трансуретральная резекция </w:t>
            </w:r>
            <w:r w:rsidRPr="00C21302">
              <w:rPr>
                <w:rFonts w:ascii="Times New Roman" w:eastAsia="Times New Roman" w:hAnsi="Times New Roman" w:cs="Times New Roman"/>
                <w:color w:val="000000"/>
                <w:lang w:eastAsia="ru-RU"/>
              </w:rPr>
              <w:lastRenderedPageBreak/>
              <w:t>предстательной железы</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lastRenderedPageBreak/>
              <w:t>2 592</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18 830</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7,3</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0,14</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0,14</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7,27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7,3</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0,14</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7,3</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0,019</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0,37</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6 986</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2,70</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lastRenderedPageBreak/>
              <w:t>18</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S18 Артроскопическое удаление мениска колена</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1 591</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17 793</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11,2</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0,09</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0,09</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11,18</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11,2</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0,09</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11,2</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0,008</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0,30</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5 321</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3,34</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19</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S19 Процедуры линз и катаракты</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1 688</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22 829</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13,5</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0,07</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0,07</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13,53</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13,5</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0,07</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13,5</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0,005</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0,27</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6 207</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3,68</w:t>
            </w:r>
          </w:p>
        </w:tc>
      </w:tr>
      <w:tr w:rsidR="00C21302" w:rsidRPr="00C21302" w:rsidTr="00C21302">
        <w:trPr>
          <w:trHeight w:val="9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20</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S20 Лигирование и зачистка варикозных вен - нижняя конечность</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1 688</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16 486</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9,8</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0,10</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0,10</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9,77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9,8</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0,10</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9,8</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0,010</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0,32</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5 275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3,13</w:t>
            </w:r>
          </w:p>
        </w:tc>
      </w:tr>
      <w:tr w:rsidR="00C21302" w:rsidRPr="00C21302" w:rsidTr="00C21302">
        <w:trPr>
          <w:trHeight w:val="600"/>
        </w:trPr>
        <w:tc>
          <w:tcPr>
            <w:tcW w:w="600" w:type="dxa"/>
            <w:tcBorders>
              <w:top w:val="nil"/>
              <w:left w:val="single" w:sz="4" w:space="0" w:color="002060"/>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21</w:t>
            </w:r>
          </w:p>
        </w:tc>
        <w:tc>
          <w:tcPr>
            <w:tcW w:w="1962" w:type="dxa"/>
            <w:tcBorders>
              <w:top w:val="nil"/>
              <w:left w:val="nil"/>
              <w:bottom w:val="single" w:sz="4" w:space="0" w:color="002060"/>
              <w:right w:val="single" w:sz="4" w:space="0" w:color="002060"/>
            </w:tcBorders>
            <w:shd w:val="clear" w:color="auto" w:fill="auto"/>
            <w:vAlign w:val="bottom"/>
            <w:hideMark/>
          </w:tcPr>
          <w:p w:rsidR="00C21302" w:rsidRPr="00C21302" w:rsidRDefault="00C21302" w:rsidP="00C21302">
            <w:pPr>
              <w:spacing w:after="0" w:line="240" w:lineRule="auto"/>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S21 Тонзилэктомия и / или аденоидэктомия</w:t>
            </w:r>
          </w:p>
        </w:tc>
        <w:tc>
          <w:tcPr>
            <w:tcW w:w="114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1 382</w:t>
            </w:r>
          </w:p>
        </w:tc>
        <w:tc>
          <w:tcPr>
            <w:tcW w:w="13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12 337</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8,9</w:t>
            </w:r>
          </w:p>
        </w:tc>
        <w:tc>
          <w:tcPr>
            <w:tcW w:w="867"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0,11</w:t>
            </w:r>
          </w:p>
        </w:tc>
        <w:tc>
          <w:tcPr>
            <w:tcW w:w="963"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0,11</w:t>
            </w:r>
          </w:p>
        </w:tc>
        <w:tc>
          <w:tcPr>
            <w:tcW w:w="880"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8,93</w:t>
            </w:r>
          </w:p>
        </w:tc>
        <w:tc>
          <w:tcPr>
            <w:tcW w:w="90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8,9</w:t>
            </w:r>
          </w:p>
        </w:tc>
        <w:tc>
          <w:tcPr>
            <w:tcW w:w="654"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0,11</w:t>
            </w:r>
          </w:p>
        </w:tc>
        <w:tc>
          <w:tcPr>
            <w:tcW w:w="985"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8,9</w:t>
            </w:r>
          </w:p>
        </w:tc>
        <w:tc>
          <w:tcPr>
            <w:tcW w:w="716" w:type="dxa"/>
            <w:tcBorders>
              <w:top w:val="nil"/>
              <w:left w:val="nil"/>
              <w:bottom w:val="single" w:sz="4" w:space="0" w:color="002060"/>
              <w:right w:val="single" w:sz="4" w:space="0" w:color="002060"/>
            </w:tcBorders>
            <w:shd w:val="clear" w:color="auto" w:fill="auto"/>
            <w:noWrap/>
            <w:vAlign w:val="bottom"/>
            <w:hideMark/>
          </w:tcPr>
          <w:p w:rsidR="00C21302" w:rsidRPr="00C21302" w:rsidRDefault="00C21302" w:rsidP="00C21302">
            <w:pPr>
              <w:spacing w:after="0" w:line="240" w:lineRule="auto"/>
              <w:jc w:val="right"/>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0,013</w:t>
            </w:r>
          </w:p>
        </w:tc>
        <w:tc>
          <w:tcPr>
            <w:tcW w:w="960" w:type="dxa"/>
            <w:tcBorders>
              <w:top w:val="nil"/>
              <w:left w:val="nil"/>
              <w:bottom w:val="single" w:sz="4" w:space="0" w:color="002060"/>
              <w:right w:val="single" w:sz="4" w:space="0" w:color="002060"/>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0,33</w:t>
            </w:r>
          </w:p>
        </w:tc>
        <w:tc>
          <w:tcPr>
            <w:tcW w:w="1592" w:type="dxa"/>
            <w:tcBorders>
              <w:top w:val="nil"/>
              <w:left w:val="nil"/>
              <w:bottom w:val="single" w:sz="4" w:space="0" w:color="002060"/>
              <w:right w:val="nil"/>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b/>
                <w:bCs/>
                <w:color w:val="000000"/>
                <w:lang w:eastAsia="ru-RU"/>
              </w:rPr>
            </w:pPr>
            <w:r w:rsidRPr="00C21302">
              <w:rPr>
                <w:rFonts w:ascii="Times New Roman" w:eastAsia="Times New Roman" w:hAnsi="Times New Roman" w:cs="Times New Roman"/>
                <w:b/>
                <w:bCs/>
                <w:color w:val="000000"/>
                <w:lang w:eastAsia="ru-RU"/>
              </w:rPr>
              <w:t>4 129</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C21302" w:rsidRPr="00C21302" w:rsidRDefault="00C21302" w:rsidP="00C21302">
            <w:pPr>
              <w:spacing w:after="0" w:line="240" w:lineRule="auto"/>
              <w:jc w:val="center"/>
              <w:rPr>
                <w:rFonts w:ascii="Times New Roman" w:eastAsia="Times New Roman" w:hAnsi="Times New Roman" w:cs="Times New Roman"/>
                <w:color w:val="000000"/>
                <w:lang w:eastAsia="ru-RU"/>
              </w:rPr>
            </w:pPr>
            <w:r w:rsidRPr="00C21302">
              <w:rPr>
                <w:rFonts w:ascii="Times New Roman" w:eastAsia="Times New Roman" w:hAnsi="Times New Roman" w:cs="Times New Roman"/>
                <w:color w:val="000000"/>
                <w:lang w:eastAsia="ru-RU"/>
              </w:rPr>
              <w:t>2,99</w:t>
            </w:r>
          </w:p>
        </w:tc>
      </w:tr>
    </w:tbl>
    <w:p w:rsidR="005647FE" w:rsidRPr="00A14096" w:rsidRDefault="005647FE" w:rsidP="00C21302">
      <w:pPr>
        <w:autoSpaceDE w:val="0"/>
        <w:autoSpaceDN w:val="0"/>
        <w:adjustRightInd w:val="0"/>
        <w:spacing w:after="0" w:line="240" w:lineRule="auto"/>
        <w:rPr>
          <w:rFonts w:ascii="Times New Roman" w:hAnsi="Times New Roman" w:cs="Times New Roman"/>
          <w:color w:val="000000" w:themeColor="text1"/>
          <w:sz w:val="28"/>
          <w:szCs w:val="28"/>
        </w:rPr>
      </w:pPr>
    </w:p>
    <w:p w:rsidR="005647FE" w:rsidRPr="00A14096" w:rsidRDefault="005647FE" w:rsidP="0073360E">
      <w:pPr>
        <w:autoSpaceDE w:val="0"/>
        <w:autoSpaceDN w:val="0"/>
        <w:adjustRightInd w:val="0"/>
        <w:spacing w:after="0" w:line="240" w:lineRule="auto"/>
        <w:ind w:firstLine="709"/>
        <w:rPr>
          <w:rFonts w:ascii="Times New Roman" w:hAnsi="Times New Roman" w:cs="Times New Roman"/>
          <w:color w:val="000000" w:themeColor="text1"/>
          <w:sz w:val="28"/>
          <w:szCs w:val="28"/>
        </w:rPr>
      </w:pPr>
    </w:p>
    <w:p w:rsidR="005647FE" w:rsidRPr="00A14096" w:rsidRDefault="005647FE" w:rsidP="0073360E">
      <w:pPr>
        <w:autoSpaceDE w:val="0"/>
        <w:autoSpaceDN w:val="0"/>
        <w:adjustRightInd w:val="0"/>
        <w:spacing w:after="0" w:line="240" w:lineRule="auto"/>
        <w:ind w:firstLine="709"/>
        <w:rPr>
          <w:rFonts w:ascii="Times New Roman" w:hAnsi="Times New Roman" w:cs="Times New Roman"/>
          <w:color w:val="000000" w:themeColor="text1"/>
          <w:sz w:val="28"/>
          <w:szCs w:val="28"/>
        </w:rPr>
      </w:pPr>
    </w:p>
    <w:p w:rsidR="003C7D9A" w:rsidRPr="00A14096" w:rsidRDefault="003C7D9A" w:rsidP="0073360E">
      <w:pPr>
        <w:spacing w:after="0" w:line="240" w:lineRule="auto"/>
        <w:ind w:firstLine="709"/>
        <w:rPr>
          <w:rFonts w:ascii="Times New Roman" w:hAnsi="Times New Roman" w:cs="Times New Roman"/>
          <w:color w:val="000000" w:themeColor="text1"/>
          <w:sz w:val="28"/>
          <w:szCs w:val="28"/>
        </w:rPr>
      </w:pPr>
    </w:p>
    <w:sectPr w:rsidR="003C7D9A" w:rsidRPr="00A14096" w:rsidSect="00C21302">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1E4" w:rsidRDefault="003E51E4" w:rsidP="005E2190">
      <w:pPr>
        <w:spacing w:after="0" w:line="240" w:lineRule="auto"/>
      </w:pPr>
      <w:r>
        <w:separator/>
      </w:r>
    </w:p>
  </w:endnote>
  <w:endnote w:type="continuationSeparator" w:id="0">
    <w:p w:rsidR="003E51E4" w:rsidRDefault="003E51E4" w:rsidP="005E2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 w:name="Arial Narrow">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27555"/>
      <w:docPartObj>
        <w:docPartGallery w:val="Page Numbers (Bottom of Page)"/>
        <w:docPartUnique/>
      </w:docPartObj>
    </w:sdtPr>
    <w:sdtEndPr/>
    <w:sdtContent>
      <w:p w:rsidR="00263304" w:rsidRDefault="00263304">
        <w:pPr>
          <w:pStyle w:val="ad"/>
          <w:jc w:val="center"/>
        </w:pPr>
        <w:r>
          <w:fldChar w:fldCharType="begin"/>
        </w:r>
        <w:r>
          <w:instrText xml:space="preserve"> PAGE   \* MERGEFORMAT </w:instrText>
        </w:r>
        <w:r>
          <w:fldChar w:fldCharType="separate"/>
        </w:r>
        <w:r w:rsidR="001B33C7">
          <w:rPr>
            <w:noProof/>
          </w:rPr>
          <w:t>2</w:t>
        </w:r>
        <w:r>
          <w:rPr>
            <w:noProof/>
          </w:rPr>
          <w:fldChar w:fldCharType="end"/>
        </w:r>
      </w:p>
    </w:sdtContent>
  </w:sdt>
  <w:p w:rsidR="00263304" w:rsidRDefault="00263304">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1E4" w:rsidRDefault="003E51E4" w:rsidP="005E2190">
      <w:pPr>
        <w:spacing w:after="0" w:line="240" w:lineRule="auto"/>
      </w:pPr>
      <w:r>
        <w:separator/>
      </w:r>
    </w:p>
  </w:footnote>
  <w:footnote w:type="continuationSeparator" w:id="0">
    <w:p w:rsidR="003E51E4" w:rsidRDefault="003E51E4" w:rsidP="005E21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4BE"/>
    <w:multiLevelType w:val="hybridMultilevel"/>
    <w:tmpl w:val="15E0A218"/>
    <w:lvl w:ilvl="0" w:tplc="93E89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1F7554"/>
    <w:multiLevelType w:val="hybridMultilevel"/>
    <w:tmpl w:val="5184A31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A44ECA"/>
    <w:multiLevelType w:val="hybridMultilevel"/>
    <w:tmpl w:val="57584B3C"/>
    <w:lvl w:ilvl="0" w:tplc="506E01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0252928"/>
    <w:multiLevelType w:val="hybridMultilevel"/>
    <w:tmpl w:val="E626F97E"/>
    <w:lvl w:ilvl="0" w:tplc="ECE826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EAC56D1"/>
    <w:multiLevelType w:val="hybridMultilevel"/>
    <w:tmpl w:val="D4369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6D0935"/>
    <w:multiLevelType w:val="hybridMultilevel"/>
    <w:tmpl w:val="D42E8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215A80"/>
    <w:multiLevelType w:val="hybridMultilevel"/>
    <w:tmpl w:val="55D43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F19"/>
    <w:rsid w:val="00004A65"/>
    <w:rsid w:val="000055E2"/>
    <w:rsid w:val="00011932"/>
    <w:rsid w:val="0001320F"/>
    <w:rsid w:val="00014D03"/>
    <w:rsid w:val="00022D7F"/>
    <w:rsid w:val="000235F0"/>
    <w:rsid w:val="00044B43"/>
    <w:rsid w:val="000561EB"/>
    <w:rsid w:val="000877CE"/>
    <w:rsid w:val="0009019C"/>
    <w:rsid w:val="00096B28"/>
    <w:rsid w:val="000A0765"/>
    <w:rsid w:val="000B7A53"/>
    <w:rsid w:val="000D4D1D"/>
    <w:rsid w:val="000E4157"/>
    <w:rsid w:val="000E5977"/>
    <w:rsid w:val="000F2E9F"/>
    <w:rsid w:val="000F6130"/>
    <w:rsid w:val="000F74EA"/>
    <w:rsid w:val="00100F5F"/>
    <w:rsid w:val="001148B4"/>
    <w:rsid w:val="001215D6"/>
    <w:rsid w:val="0012419D"/>
    <w:rsid w:val="00124496"/>
    <w:rsid w:val="0013736E"/>
    <w:rsid w:val="001378FA"/>
    <w:rsid w:val="001466B2"/>
    <w:rsid w:val="00147282"/>
    <w:rsid w:val="001506CD"/>
    <w:rsid w:val="00154516"/>
    <w:rsid w:val="00163260"/>
    <w:rsid w:val="00170D63"/>
    <w:rsid w:val="00170DE1"/>
    <w:rsid w:val="001827A6"/>
    <w:rsid w:val="00185BB6"/>
    <w:rsid w:val="00190FBC"/>
    <w:rsid w:val="00196B72"/>
    <w:rsid w:val="001A2AAF"/>
    <w:rsid w:val="001B33C7"/>
    <w:rsid w:val="001C6FEA"/>
    <w:rsid w:val="001F33C4"/>
    <w:rsid w:val="001F6A65"/>
    <w:rsid w:val="002033FD"/>
    <w:rsid w:val="002036A8"/>
    <w:rsid w:val="00205885"/>
    <w:rsid w:val="00206F1E"/>
    <w:rsid w:val="00223ECD"/>
    <w:rsid w:val="00230E06"/>
    <w:rsid w:val="002324EA"/>
    <w:rsid w:val="0023374C"/>
    <w:rsid w:val="00240089"/>
    <w:rsid w:val="00240899"/>
    <w:rsid w:val="00246134"/>
    <w:rsid w:val="00251FC7"/>
    <w:rsid w:val="002538A6"/>
    <w:rsid w:val="00256E61"/>
    <w:rsid w:val="00263304"/>
    <w:rsid w:val="0027165D"/>
    <w:rsid w:val="0027469D"/>
    <w:rsid w:val="00274C14"/>
    <w:rsid w:val="00280A08"/>
    <w:rsid w:val="002949EC"/>
    <w:rsid w:val="002A356E"/>
    <w:rsid w:val="002A62C4"/>
    <w:rsid w:val="002B3634"/>
    <w:rsid w:val="002B4668"/>
    <w:rsid w:val="002C54B3"/>
    <w:rsid w:val="002D35F3"/>
    <w:rsid w:val="002D59DA"/>
    <w:rsid w:val="002D5EAF"/>
    <w:rsid w:val="002D6169"/>
    <w:rsid w:val="002E282D"/>
    <w:rsid w:val="002E7883"/>
    <w:rsid w:val="002F049B"/>
    <w:rsid w:val="002F0541"/>
    <w:rsid w:val="002F1D00"/>
    <w:rsid w:val="002F20A3"/>
    <w:rsid w:val="00300EA0"/>
    <w:rsid w:val="003151FB"/>
    <w:rsid w:val="00342CC6"/>
    <w:rsid w:val="00357D6A"/>
    <w:rsid w:val="00367BEC"/>
    <w:rsid w:val="00373955"/>
    <w:rsid w:val="003829DD"/>
    <w:rsid w:val="003922C8"/>
    <w:rsid w:val="003A3C48"/>
    <w:rsid w:val="003A678E"/>
    <w:rsid w:val="003A73C3"/>
    <w:rsid w:val="003B08AE"/>
    <w:rsid w:val="003B2604"/>
    <w:rsid w:val="003B374A"/>
    <w:rsid w:val="003B7D6E"/>
    <w:rsid w:val="003C1ABC"/>
    <w:rsid w:val="003C7D9A"/>
    <w:rsid w:val="003D58FD"/>
    <w:rsid w:val="003E0240"/>
    <w:rsid w:val="003E3010"/>
    <w:rsid w:val="003E51E4"/>
    <w:rsid w:val="003F0135"/>
    <w:rsid w:val="003F161A"/>
    <w:rsid w:val="00401C1B"/>
    <w:rsid w:val="00405F64"/>
    <w:rsid w:val="004076C0"/>
    <w:rsid w:val="00410962"/>
    <w:rsid w:val="00431E1A"/>
    <w:rsid w:val="004339AB"/>
    <w:rsid w:val="004358BF"/>
    <w:rsid w:val="0044061E"/>
    <w:rsid w:val="004545DE"/>
    <w:rsid w:val="00457619"/>
    <w:rsid w:val="004651D7"/>
    <w:rsid w:val="00467269"/>
    <w:rsid w:val="00467990"/>
    <w:rsid w:val="00472C3A"/>
    <w:rsid w:val="004754B0"/>
    <w:rsid w:val="00477AF3"/>
    <w:rsid w:val="00493094"/>
    <w:rsid w:val="004A2D3A"/>
    <w:rsid w:val="004A7FDB"/>
    <w:rsid w:val="004B5C19"/>
    <w:rsid w:val="004C2139"/>
    <w:rsid w:val="004C6B88"/>
    <w:rsid w:val="004C6BF9"/>
    <w:rsid w:val="004D1334"/>
    <w:rsid w:val="004D22A7"/>
    <w:rsid w:val="004E2A8B"/>
    <w:rsid w:val="004E3A6A"/>
    <w:rsid w:val="004F0E53"/>
    <w:rsid w:val="004F2F4B"/>
    <w:rsid w:val="00501E3D"/>
    <w:rsid w:val="00516A53"/>
    <w:rsid w:val="005227EF"/>
    <w:rsid w:val="00557FAB"/>
    <w:rsid w:val="005647FE"/>
    <w:rsid w:val="005720B0"/>
    <w:rsid w:val="0057301F"/>
    <w:rsid w:val="00574720"/>
    <w:rsid w:val="005867BD"/>
    <w:rsid w:val="005A3E8D"/>
    <w:rsid w:val="005A66E4"/>
    <w:rsid w:val="005B1A42"/>
    <w:rsid w:val="005C4E95"/>
    <w:rsid w:val="005C6C18"/>
    <w:rsid w:val="005D037E"/>
    <w:rsid w:val="005D1009"/>
    <w:rsid w:val="005D57F4"/>
    <w:rsid w:val="005D6C7E"/>
    <w:rsid w:val="005E2190"/>
    <w:rsid w:val="005F438E"/>
    <w:rsid w:val="00602FE9"/>
    <w:rsid w:val="00613F7C"/>
    <w:rsid w:val="00614373"/>
    <w:rsid w:val="00616FDD"/>
    <w:rsid w:val="00636614"/>
    <w:rsid w:val="00670BE4"/>
    <w:rsid w:val="00673BF1"/>
    <w:rsid w:val="0067587F"/>
    <w:rsid w:val="00676B92"/>
    <w:rsid w:val="006861EF"/>
    <w:rsid w:val="00691073"/>
    <w:rsid w:val="0069130B"/>
    <w:rsid w:val="00695014"/>
    <w:rsid w:val="006A18F0"/>
    <w:rsid w:val="006A3576"/>
    <w:rsid w:val="006A62B1"/>
    <w:rsid w:val="006B1098"/>
    <w:rsid w:val="006B6F19"/>
    <w:rsid w:val="006C31C7"/>
    <w:rsid w:val="006C6DF5"/>
    <w:rsid w:val="006E1636"/>
    <w:rsid w:val="006E6095"/>
    <w:rsid w:val="006F449F"/>
    <w:rsid w:val="007008AA"/>
    <w:rsid w:val="00702813"/>
    <w:rsid w:val="007068C5"/>
    <w:rsid w:val="00706D6C"/>
    <w:rsid w:val="00712E92"/>
    <w:rsid w:val="0071320C"/>
    <w:rsid w:val="007227BC"/>
    <w:rsid w:val="007227BD"/>
    <w:rsid w:val="0073360E"/>
    <w:rsid w:val="00746909"/>
    <w:rsid w:val="007474A2"/>
    <w:rsid w:val="0075072C"/>
    <w:rsid w:val="007520E0"/>
    <w:rsid w:val="00752571"/>
    <w:rsid w:val="00754D3F"/>
    <w:rsid w:val="007560D6"/>
    <w:rsid w:val="007628A8"/>
    <w:rsid w:val="00764DE6"/>
    <w:rsid w:val="00772205"/>
    <w:rsid w:val="00773E17"/>
    <w:rsid w:val="00775385"/>
    <w:rsid w:val="007772CC"/>
    <w:rsid w:val="00785AEE"/>
    <w:rsid w:val="00787816"/>
    <w:rsid w:val="007B3893"/>
    <w:rsid w:val="007B6F55"/>
    <w:rsid w:val="007B7487"/>
    <w:rsid w:val="007D1055"/>
    <w:rsid w:val="007F2466"/>
    <w:rsid w:val="007F3666"/>
    <w:rsid w:val="00800E23"/>
    <w:rsid w:val="008016BC"/>
    <w:rsid w:val="008061CA"/>
    <w:rsid w:val="00811629"/>
    <w:rsid w:val="008176B1"/>
    <w:rsid w:val="00835B6A"/>
    <w:rsid w:val="00837DD3"/>
    <w:rsid w:val="00843E7C"/>
    <w:rsid w:val="00845B08"/>
    <w:rsid w:val="00854FBB"/>
    <w:rsid w:val="00863163"/>
    <w:rsid w:val="00864509"/>
    <w:rsid w:val="00887A58"/>
    <w:rsid w:val="00890E16"/>
    <w:rsid w:val="0089453E"/>
    <w:rsid w:val="00894918"/>
    <w:rsid w:val="00896FCE"/>
    <w:rsid w:val="008A0BEB"/>
    <w:rsid w:val="008B0B7F"/>
    <w:rsid w:val="008B429F"/>
    <w:rsid w:val="008B5147"/>
    <w:rsid w:val="008C2BC5"/>
    <w:rsid w:val="008C3CCA"/>
    <w:rsid w:val="008C5371"/>
    <w:rsid w:val="008D1D78"/>
    <w:rsid w:val="008D3B3A"/>
    <w:rsid w:val="008D4FA1"/>
    <w:rsid w:val="008D6DA3"/>
    <w:rsid w:val="008F403B"/>
    <w:rsid w:val="008F5FAD"/>
    <w:rsid w:val="00900734"/>
    <w:rsid w:val="00915215"/>
    <w:rsid w:val="00915BCD"/>
    <w:rsid w:val="00923EA7"/>
    <w:rsid w:val="0092605E"/>
    <w:rsid w:val="0093334D"/>
    <w:rsid w:val="00935542"/>
    <w:rsid w:val="00941EC1"/>
    <w:rsid w:val="00950A88"/>
    <w:rsid w:val="009609E6"/>
    <w:rsid w:val="00960EFA"/>
    <w:rsid w:val="009703A6"/>
    <w:rsid w:val="00971C9A"/>
    <w:rsid w:val="009728F4"/>
    <w:rsid w:val="009A3937"/>
    <w:rsid w:val="009B452B"/>
    <w:rsid w:val="009B73FB"/>
    <w:rsid w:val="009C10B9"/>
    <w:rsid w:val="009C2DE1"/>
    <w:rsid w:val="009C3519"/>
    <w:rsid w:val="009C6736"/>
    <w:rsid w:val="009D3D15"/>
    <w:rsid w:val="009D4CB1"/>
    <w:rsid w:val="009D52B2"/>
    <w:rsid w:val="009D5D8D"/>
    <w:rsid w:val="009E518A"/>
    <w:rsid w:val="009E79C1"/>
    <w:rsid w:val="009F25BB"/>
    <w:rsid w:val="009F610E"/>
    <w:rsid w:val="00A032AB"/>
    <w:rsid w:val="00A042E6"/>
    <w:rsid w:val="00A06279"/>
    <w:rsid w:val="00A11B52"/>
    <w:rsid w:val="00A12C9C"/>
    <w:rsid w:val="00A13CAD"/>
    <w:rsid w:val="00A13D7D"/>
    <w:rsid w:val="00A14096"/>
    <w:rsid w:val="00A1432E"/>
    <w:rsid w:val="00A16C6A"/>
    <w:rsid w:val="00A25911"/>
    <w:rsid w:val="00A26429"/>
    <w:rsid w:val="00A319E4"/>
    <w:rsid w:val="00A40099"/>
    <w:rsid w:val="00A401C7"/>
    <w:rsid w:val="00A40817"/>
    <w:rsid w:val="00A418C0"/>
    <w:rsid w:val="00A45808"/>
    <w:rsid w:val="00A51821"/>
    <w:rsid w:val="00A5250A"/>
    <w:rsid w:val="00A603F9"/>
    <w:rsid w:val="00A719F9"/>
    <w:rsid w:val="00A85179"/>
    <w:rsid w:val="00A940B5"/>
    <w:rsid w:val="00A951C0"/>
    <w:rsid w:val="00AA2120"/>
    <w:rsid w:val="00AA4143"/>
    <w:rsid w:val="00AA753B"/>
    <w:rsid w:val="00AC0923"/>
    <w:rsid w:val="00AC0941"/>
    <w:rsid w:val="00AC437D"/>
    <w:rsid w:val="00AC7476"/>
    <w:rsid w:val="00AD1FDC"/>
    <w:rsid w:val="00AD4C1D"/>
    <w:rsid w:val="00AD4CCA"/>
    <w:rsid w:val="00AF04D7"/>
    <w:rsid w:val="00AF0FD8"/>
    <w:rsid w:val="00AF6243"/>
    <w:rsid w:val="00B05043"/>
    <w:rsid w:val="00B11FDE"/>
    <w:rsid w:val="00B158C5"/>
    <w:rsid w:val="00B50726"/>
    <w:rsid w:val="00B516E9"/>
    <w:rsid w:val="00B52D42"/>
    <w:rsid w:val="00B828A6"/>
    <w:rsid w:val="00B855AA"/>
    <w:rsid w:val="00BA5D08"/>
    <w:rsid w:val="00BB0012"/>
    <w:rsid w:val="00BC070D"/>
    <w:rsid w:val="00BC1B9C"/>
    <w:rsid w:val="00BC2A7A"/>
    <w:rsid w:val="00BC48C0"/>
    <w:rsid w:val="00BC56DC"/>
    <w:rsid w:val="00BC6912"/>
    <w:rsid w:val="00BC6F52"/>
    <w:rsid w:val="00BE019B"/>
    <w:rsid w:val="00BE5441"/>
    <w:rsid w:val="00BE5AC1"/>
    <w:rsid w:val="00BF3237"/>
    <w:rsid w:val="00BF580D"/>
    <w:rsid w:val="00C03EB2"/>
    <w:rsid w:val="00C05178"/>
    <w:rsid w:val="00C14434"/>
    <w:rsid w:val="00C144C6"/>
    <w:rsid w:val="00C17F03"/>
    <w:rsid w:val="00C21302"/>
    <w:rsid w:val="00C2586B"/>
    <w:rsid w:val="00C33606"/>
    <w:rsid w:val="00C34D60"/>
    <w:rsid w:val="00C35DE2"/>
    <w:rsid w:val="00C7055A"/>
    <w:rsid w:val="00C77FEB"/>
    <w:rsid w:val="00C90D99"/>
    <w:rsid w:val="00C91826"/>
    <w:rsid w:val="00C93E3D"/>
    <w:rsid w:val="00C97FB4"/>
    <w:rsid w:val="00CA6C34"/>
    <w:rsid w:val="00CB04DD"/>
    <w:rsid w:val="00CB07B8"/>
    <w:rsid w:val="00CB6F6E"/>
    <w:rsid w:val="00CC5CA9"/>
    <w:rsid w:val="00CC6A64"/>
    <w:rsid w:val="00CD213D"/>
    <w:rsid w:val="00CE118D"/>
    <w:rsid w:val="00CE4763"/>
    <w:rsid w:val="00CE4BE5"/>
    <w:rsid w:val="00D0580F"/>
    <w:rsid w:val="00D0667C"/>
    <w:rsid w:val="00D112D0"/>
    <w:rsid w:val="00D121D4"/>
    <w:rsid w:val="00D15902"/>
    <w:rsid w:val="00D17EF5"/>
    <w:rsid w:val="00D20605"/>
    <w:rsid w:val="00D316E5"/>
    <w:rsid w:val="00D400D1"/>
    <w:rsid w:val="00D41949"/>
    <w:rsid w:val="00D53B39"/>
    <w:rsid w:val="00D63985"/>
    <w:rsid w:val="00D860A8"/>
    <w:rsid w:val="00D87287"/>
    <w:rsid w:val="00D87837"/>
    <w:rsid w:val="00DA06D7"/>
    <w:rsid w:val="00DA1B0A"/>
    <w:rsid w:val="00DA323E"/>
    <w:rsid w:val="00DA67E4"/>
    <w:rsid w:val="00DB624A"/>
    <w:rsid w:val="00DC0967"/>
    <w:rsid w:val="00DC12B0"/>
    <w:rsid w:val="00DC5BC6"/>
    <w:rsid w:val="00DC780D"/>
    <w:rsid w:val="00DE1D59"/>
    <w:rsid w:val="00DF2B4F"/>
    <w:rsid w:val="00E11AE0"/>
    <w:rsid w:val="00E12D35"/>
    <w:rsid w:val="00E16391"/>
    <w:rsid w:val="00E206A4"/>
    <w:rsid w:val="00E37689"/>
    <w:rsid w:val="00E41F65"/>
    <w:rsid w:val="00E479F8"/>
    <w:rsid w:val="00E64C80"/>
    <w:rsid w:val="00E64DDE"/>
    <w:rsid w:val="00E66102"/>
    <w:rsid w:val="00E83C88"/>
    <w:rsid w:val="00EA0735"/>
    <w:rsid w:val="00EB7B6C"/>
    <w:rsid w:val="00EC27B8"/>
    <w:rsid w:val="00ED0016"/>
    <w:rsid w:val="00ED4C66"/>
    <w:rsid w:val="00EE0930"/>
    <w:rsid w:val="00EE28AE"/>
    <w:rsid w:val="00EF067C"/>
    <w:rsid w:val="00EF3690"/>
    <w:rsid w:val="00EF4199"/>
    <w:rsid w:val="00EF4BEF"/>
    <w:rsid w:val="00F02B23"/>
    <w:rsid w:val="00F14BA4"/>
    <w:rsid w:val="00F21238"/>
    <w:rsid w:val="00F214F4"/>
    <w:rsid w:val="00F249CF"/>
    <w:rsid w:val="00F26920"/>
    <w:rsid w:val="00F501FC"/>
    <w:rsid w:val="00F56102"/>
    <w:rsid w:val="00F60FF0"/>
    <w:rsid w:val="00F62DE8"/>
    <w:rsid w:val="00F66DCE"/>
    <w:rsid w:val="00F67F04"/>
    <w:rsid w:val="00F829AF"/>
    <w:rsid w:val="00F859C9"/>
    <w:rsid w:val="00FB213B"/>
    <w:rsid w:val="00FC43F2"/>
    <w:rsid w:val="00FC6A4B"/>
    <w:rsid w:val="00FD4D41"/>
    <w:rsid w:val="00FF4E93"/>
    <w:rsid w:val="00FF58C1"/>
    <w:rsid w:val="00FF6C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8ECC40-8B65-4683-8B1D-95138F594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9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9182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5E2190"/>
    <w:pPr>
      <w:spacing w:after="0" w:line="240" w:lineRule="auto"/>
    </w:pPr>
    <w:rPr>
      <w:sz w:val="20"/>
      <w:szCs w:val="20"/>
    </w:rPr>
  </w:style>
  <w:style w:type="character" w:customStyle="1" w:styleId="a5">
    <w:name w:val="Текст сноски Знак"/>
    <w:basedOn w:val="a0"/>
    <w:link w:val="a4"/>
    <w:uiPriority w:val="99"/>
    <w:semiHidden/>
    <w:rsid w:val="005E2190"/>
    <w:rPr>
      <w:sz w:val="20"/>
      <w:szCs w:val="20"/>
    </w:rPr>
  </w:style>
  <w:style w:type="character" w:styleId="a6">
    <w:name w:val="footnote reference"/>
    <w:basedOn w:val="a0"/>
    <w:uiPriority w:val="99"/>
    <w:semiHidden/>
    <w:unhideWhenUsed/>
    <w:rsid w:val="005E2190"/>
    <w:rPr>
      <w:vertAlign w:val="superscript"/>
    </w:rPr>
  </w:style>
  <w:style w:type="table" w:styleId="-4">
    <w:name w:val="Light Shading Accent 4"/>
    <w:basedOn w:val="a1"/>
    <w:uiPriority w:val="60"/>
    <w:rsid w:val="001632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632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11">
    <w:name w:val="Светлая заливка - Акцент 11"/>
    <w:basedOn w:val="a1"/>
    <w:uiPriority w:val="60"/>
    <w:rsid w:val="001632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0">
    <w:name w:val="Light Grid Accent 5"/>
    <w:basedOn w:val="a1"/>
    <w:uiPriority w:val="62"/>
    <w:rsid w:val="0016326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a7">
    <w:name w:val="Balloon Text"/>
    <w:basedOn w:val="a"/>
    <w:link w:val="a8"/>
    <w:uiPriority w:val="99"/>
    <w:semiHidden/>
    <w:unhideWhenUsed/>
    <w:rsid w:val="00BB00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B0012"/>
    <w:rPr>
      <w:rFonts w:ascii="Tahoma" w:hAnsi="Tahoma" w:cs="Tahoma"/>
      <w:sz w:val="16"/>
      <w:szCs w:val="16"/>
    </w:rPr>
  </w:style>
  <w:style w:type="paragraph" w:styleId="a9">
    <w:name w:val="List Paragraph"/>
    <w:aliases w:val="References"/>
    <w:basedOn w:val="a"/>
    <w:link w:val="aa"/>
    <w:uiPriority w:val="34"/>
    <w:qFormat/>
    <w:rsid w:val="003151FB"/>
    <w:pPr>
      <w:spacing w:after="160" w:line="259" w:lineRule="auto"/>
      <w:ind w:left="720"/>
      <w:contextualSpacing/>
    </w:pPr>
  </w:style>
  <w:style w:type="character" w:customStyle="1" w:styleId="aa">
    <w:name w:val="Абзац списка Знак"/>
    <w:aliases w:val="References Знак"/>
    <w:link w:val="a9"/>
    <w:uiPriority w:val="34"/>
    <w:locked/>
    <w:rsid w:val="003151FB"/>
  </w:style>
  <w:style w:type="paragraph" w:styleId="ab">
    <w:name w:val="header"/>
    <w:basedOn w:val="a"/>
    <w:link w:val="ac"/>
    <w:uiPriority w:val="99"/>
    <w:semiHidden/>
    <w:unhideWhenUsed/>
    <w:rsid w:val="00AA414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A4143"/>
  </w:style>
  <w:style w:type="paragraph" w:styleId="ad">
    <w:name w:val="footer"/>
    <w:basedOn w:val="a"/>
    <w:link w:val="ae"/>
    <w:uiPriority w:val="99"/>
    <w:unhideWhenUsed/>
    <w:rsid w:val="00AA414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A4143"/>
  </w:style>
  <w:style w:type="character" w:styleId="af">
    <w:name w:val="Hyperlink"/>
    <w:basedOn w:val="a0"/>
    <w:uiPriority w:val="99"/>
    <w:unhideWhenUsed/>
    <w:rsid w:val="003A73C3"/>
    <w:rPr>
      <w:color w:val="0000FF" w:themeColor="hyperlink"/>
      <w:u w:val="single"/>
    </w:rPr>
  </w:style>
  <w:style w:type="character" w:styleId="af0">
    <w:name w:val="FollowedHyperlink"/>
    <w:basedOn w:val="a0"/>
    <w:uiPriority w:val="99"/>
    <w:semiHidden/>
    <w:unhideWhenUsed/>
    <w:rsid w:val="007B6F55"/>
    <w:rPr>
      <w:color w:val="954F72"/>
      <w:u w:val="single"/>
    </w:rPr>
  </w:style>
  <w:style w:type="paragraph" w:customStyle="1" w:styleId="xl66">
    <w:name w:val="xl66"/>
    <w:basedOn w:val="a"/>
    <w:rsid w:val="007B6F55"/>
    <w:pPr>
      <w:pBdr>
        <w:top w:val="single" w:sz="4" w:space="0" w:color="auto"/>
        <w:left w:val="single" w:sz="4" w:space="0" w:color="auto"/>
        <w:bottom w:val="single" w:sz="4" w:space="0" w:color="auto"/>
        <w:right w:val="single" w:sz="4" w:space="0" w:color="auto"/>
      </w:pBdr>
      <w:shd w:val="clear" w:color="DEEBF6" w:fill="DEEBF6"/>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ru-RU"/>
    </w:rPr>
  </w:style>
  <w:style w:type="paragraph" w:customStyle="1" w:styleId="xl67">
    <w:name w:val="xl67"/>
    <w:basedOn w:val="a"/>
    <w:rsid w:val="007B6F55"/>
    <w:pPr>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68">
    <w:name w:val="xl68"/>
    <w:basedOn w:val="a"/>
    <w:rsid w:val="007B6F55"/>
    <w:pPr>
      <w:spacing w:before="100" w:beforeAutospacing="1" w:after="100" w:afterAutospacing="1" w:line="240" w:lineRule="auto"/>
      <w:jc w:val="center"/>
      <w:textAlignment w:val="center"/>
    </w:pPr>
    <w:rPr>
      <w:rFonts w:ascii="Arial Narrow" w:eastAsia="Times New Roman" w:hAnsi="Arial Narrow" w:cs="Times New Roman"/>
      <w:sz w:val="24"/>
      <w:szCs w:val="24"/>
      <w:lang w:eastAsia="ru-RU"/>
    </w:rPr>
  </w:style>
  <w:style w:type="paragraph" w:customStyle="1" w:styleId="xl69">
    <w:name w:val="xl69"/>
    <w:basedOn w:val="a"/>
    <w:rsid w:val="007B6F55"/>
    <w:pPr>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70">
    <w:name w:val="xl70"/>
    <w:basedOn w:val="a"/>
    <w:rsid w:val="007B6F55"/>
    <w:pP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ru-RU"/>
    </w:rPr>
  </w:style>
  <w:style w:type="paragraph" w:customStyle="1" w:styleId="xl71">
    <w:name w:val="xl71"/>
    <w:basedOn w:val="a"/>
    <w:rsid w:val="007B6F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ru-RU"/>
    </w:rPr>
  </w:style>
  <w:style w:type="paragraph" w:customStyle="1" w:styleId="xl72">
    <w:name w:val="xl72"/>
    <w:basedOn w:val="a"/>
    <w:rsid w:val="007B6F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ru-RU"/>
    </w:rPr>
  </w:style>
  <w:style w:type="paragraph" w:customStyle="1" w:styleId="xl73">
    <w:name w:val="xl73"/>
    <w:basedOn w:val="a"/>
    <w:rsid w:val="007B6F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ru-RU"/>
    </w:rPr>
  </w:style>
  <w:style w:type="paragraph" w:customStyle="1" w:styleId="xl74">
    <w:name w:val="xl74"/>
    <w:basedOn w:val="a"/>
    <w:rsid w:val="007B6F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ru-RU"/>
    </w:rPr>
  </w:style>
  <w:style w:type="paragraph" w:customStyle="1" w:styleId="xl75">
    <w:name w:val="xl75"/>
    <w:basedOn w:val="a"/>
    <w:rsid w:val="007B6F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ru-RU"/>
    </w:rPr>
  </w:style>
  <w:style w:type="paragraph" w:customStyle="1" w:styleId="xl76">
    <w:name w:val="xl76"/>
    <w:basedOn w:val="a"/>
    <w:rsid w:val="007B6F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632">
      <w:bodyDiv w:val="1"/>
      <w:marLeft w:val="0"/>
      <w:marRight w:val="0"/>
      <w:marTop w:val="0"/>
      <w:marBottom w:val="0"/>
      <w:divBdr>
        <w:top w:val="none" w:sz="0" w:space="0" w:color="auto"/>
        <w:left w:val="none" w:sz="0" w:space="0" w:color="auto"/>
        <w:bottom w:val="none" w:sz="0" w:space="0" w:color="auto"/>
        <w:right w:val="none" w:sz="0" w:space="0" w:color="auto"/>
      </w:divBdr>
    </w:div>
    <w:div w:id="242571213">
      <w:bodyDiv w:val="1"/>
      <w:marLeft w:val="0"/>
      <w:marRight w:val="0"/>
      <w:marTop w:val="0"/>
      <w:marBottom w:val="0"/>
      <w:divBdr>
        <w:top w:val="none" w:sz="0" w:space="0" w:color="auto"/>
        <w:left w:val="none" w:sz="0" w:space="0" w:color="auto"/>
        <w:bottom w:val="none" w:sz="0" w:space="0" w:color="auto"/>
        <w:right w:val="none" w:sz="0" w:space="0" w:color="auto"/>
      </w:divBdr>
    </w:div>
    <w:div w:id="254479989">
      <w:bodyDiv w:val="1"/>
      <w:marLeft w:val="0"/>
      <w:marRight w:val="0"/>
      <w:marTop w:val="0"/>
      <w:marBottom w:val="0"/>
      <w:divBdr>
        <w:top w:val="none" w:sz="0" w:space="0" w:color="auto"/>
        <w:left w:val="none" w:sz="0" w:space="0" w:color="auto"/>
        <w:bottom w:val="none" w:sz="0" w:space="0" w:color="auto"/>
        <w:right w:val="none" w:sz="0" w:space="0" w:color="auto"/>
      </w:divBdr>
    </w:div>
    <w:div w:id="273368880">
      <w:bodyDiv w:val="1"/>
      <w:marLeft w:val="0"/>
      <w:marRight w:val="0"/>
      <w:marTop w:val="0"/>
      <w:marBottom w:val="0"/>
      <w:divBdr>
        <w:top w:val="none" w:sz="0" w:space="0" w:color="auto"/>
        <w:left w:val="none" w:sz="0" w:space="0" w:color="auto"/>
        <w:bottom w:val="none" w:sz="0" w:space="0" w:color="auto"/>
        <w:right w:val="none" w:sz="0" w:space="0" w:color="auto"/>
      </w:divBdr>
    </w:div>
    <w:div w:id="451436972">
      <w:bodyDiv w:val="1"/>
      <w:marLeft w:val="0"/>
      <w:marRight w:val="0"/>
      <w:marTop w:val="0"/>
      <w:marBottom w:val="0"/>
      <w:divBdr>
        <w:top w:val="none" w:sz="0" w:space="0" w:color="auto"/>
        <w:left w:val="none" w:sz="0" w:space="0" w:color="auto"/>
        <w:bottom w:val="none" w:sz="0" w:space="0" w:color="auto"/>
        <w:right w:val="none" w:sz="0" w:space="0" w:color="auto"/>
      </w:divBdr>
    </w:div>
    <w:div w:id="531651341">
      <w:bodyDiv w:val="1"/>
      <w:marLeft w:val="0"/>
      <w:marRight w:val="0"/>
      <w:marTop w:val="0"/>
      <w:marBottom w:val="0"/>
      <w:divBdr>
        <w:top w:val="none" w:sz="0" w:space="0" w:color="auto"/>
        <w:left w:val="none" w:sz="0" w:space="0" w:color="auto"/>
        <w:bottom w:val="none" w:sz="0" w:space="0" w:color="auto"/>
        <w:right w:val="none" w:sz="0" w:space="0" w:color="auto"/>
      </w:divBdr>
    </w:div>
    <w:div w:id="641547283">
      <w:bodyDiv w:val="1"/>
      <w:marLeft w:val="0"/>
      <w:marRight w:val="0"/>
      <w:marTop w:val="0"/>
      <w:marBottom w:val="0"/>
      <w:divBdr>
        <w:top w:val="none" w:sz="0" w:space="0" w:color="auto"/>
        <w:left w:val="none" w:sz="0" w:space="0" w:color="auto"/>
        <w:bottom w:val="none" w:sz="0" w:space="0" w:color="auto"/>
        <w:right w:val="none" w:sz="0" w:space="0" w:color="auto"/>
      </w:divBdr>
    </w:div>
    <w:div w:id="1047998072">
      <w:bodyDiv w:val="1"/>
      <w:marLeft w:val="0"/>
      <w:marRight w:val="0"/>
      <w:marTop w:val="0"/>
      <w:marBottom w:val="0"/>
      <w:divBdr>
        <w:top w:val="none" w:sz="0" w:space="0" w:color="auto"/>
        <w:left w:val="none" w:sz="0" w:space="0" w:color="auto"/>
        <w:bottom w:val="none" w:sz="0" w:space="0" w:color="auto"/>
        <w:right w:val="none" w:sz="0" w:space="0" w:color="auto"/>
      </w:divBdr>
    </w:div>
    <w:div w:id="1081364862">
      <w:bodyDiv w:val="1"/>
      <w:marLeft w:val="0"/>
      <w:marRight w:val="0"/>
      <w:marTop w:val="0"/>
      <w:marBottom w:val="0"/>
      <w:divBdr>
        <w:top w:val="none" w:sz="0" w:space="0" w:color="auto"/>
        <w:left w:val="none" w:sz="0" w:space="0" w:color="auto"/>
        <w:bottom w:val="none" w:sz="0" w:space="0" w:color="auto"/>
        <w:right w:val="none" w:sz="0" w:space="0" w:color="auto"/>
      </w:divBdr>
    </w:div>
    <w:div w:id="1275987036">
      <w:bodyDiv w:val="1"/>
      <w:marLeft w:val="0"/>
      <w:marRight w:val="0"/>
      <w:marTop w:val="0"/>
      <w:marBottom w:val="0"/>
      <w:divBdr>
        <w:top w:val="none" w:sz="0" w:space="0" w:color="auto"/>
        <w:left w:val="none" w:sz="0" w:space="0" w:color="auto"/>
        <w:bottom w:val="none" w:sz="0" w:space="0" w:color="auto"/>
        <w:right w:val="none" w:sz="0" w:space="0" w:color="auto"/>
      </w:divBdr>
    </w:div>
    <w:div w:id="1355305187">
      <w:bodyDiv w:val="1"/>
      <w:marLeft w:val="0"/>
      <w:marRight w:val="0"/>
      <w:marTop w:val="0"/>
      <w:marBottom w:val="0"/>
      <w:divBdr>
        <w:top w:val="none" w:sz="0" w:space="0" w:color="auto"/>
        <w:left w:val="none" w:sz="0" w:space="0" w:color="auto"/>
        <w:bottom w:val="none" w:sz="0" w:space="0" w:color="auto"/>
        <w:right w:val="none" w:sz="0" w:space="0" w:color="auto"/>
      </w:divBdr>
    </w:div>
    <w:div w:id="1608196224">
      <w:bodyDiv w:val="1"/>
      <w:marLeft w:val="0"/>
      <w:marRight w:val="0"/>
      <w:marTop w:val="0"/>
      <w:marBottom w:val="0"/>
      <w:divBdr>
        <w:top w:val="none" w:sz="0" w:space="0" w:color="auto"/>
        <w:left w:val="none" w:sz="0" w:space="0" w:color="auto"/>
        <w:bottom w:val="none" w:sz="0" w:space="0" w:color="auto"/>
        <w:right w:val="none" w:sz="0" w:space="0" w:color="auto"/>
      </w:divBdr>
    </w:div>
    <w:div w:id="1674333870">
      <w:bodyDiv w:val="1"/>
      <w:marLeft w:val="0"/>
      <w:marRight w:val="0"/>
      <w:marTop w:val="0"/>
      <w:marBottom w:val="0"/>
      <w:divBdr>
        <w:top w:val="none" w:sz="0" w:space="0" w:color="auto"/>
        <w:left w:val="none" w:sz="0" w:space="0" w:color="auto"/>
        <w:bottom w:val="none" w:sz="0" w:space="0" w:color="auto"/>
        <w:right w:val="none" w:sz="0" w:space="0" w:color="auto"/>
      </w:divBdr>
    </w:div>
    <w:div w:id="1839804013">
      <w:bodyDiv w:val="1"/>
      <w:marLeft w:val="0"/>
      <w:marRight w:val="0"/>
      <w:marTop w:val="0"/>
      <w:marBottom w:val="0"/>
      <w:divBdr>
        <w:top w:val="none" w:sz="0" w:space="0" w:color="auto"/>
        <w:left w:val="none" w:sz="0" w:space="0" w:color="auto"/>
        <w:bottom w:val="none" w:sz="0" w:space="0" w:color="auto"/>
        <w:right w:val="none" w:sz="0" w:space="0" w:color="auto"/>
      </w:divBdr>
    </w:div>
    <w:div w:id="1855413678">
      <w:bodyDiv w:val="1"/>
      <w:marLeft w:val="0"/>
      <w:marRight w:val="0"/>
      <w:marTop w:val="0"/>
      <w:marBottom w:val="0"/>
      <w:divBdr>
        <w:top w:val="none" w:sz="0" w:space="0" w:color="auto"/>
        <w:left w:val="none" w:sz="0" w:space="0" w:color="auto"/>
        <w:bottom w:val="none" w:sz="0" w:space="0" w:color="auto"/>
        <w:right w:val="none" w:sz="0" w:space="0" w:color="auto"/>
      </w:divBdr>
    </w:div>
    <w:div w:id="1900824044">
      <w:bodyDiv w:val="1"/>
      <w:marLeft w:val="0"/>
      <w:marRight w:val="0"/>
      <w:marTop w:val="0"/>
      <w:marBottom w:val="0"/>
      <w:divBdr>
        <w:top w:val="none" w:sz="0" w:space="0" w:color="auto"/>
        <w:left w:val="none" w:sz="0" w:space="0" w:color="auto"/>
        <w:bottom w:val="none" w:sz="0" w:space="0" w:color="auto"/>
        <w:right w:val="none" w:sz="0" w:space="0" w:color="auto"/>
      </w:divBdr>
    </w:div>
    <w:div w:id="190194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tat.gov.kz"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hyperlink" Target="https://ersb.eisz.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hyperlink" Target="https://data.oecd.org/" TargetMode="External"/><Relationship Id="rId10" Type="http://schemas.openxmlformats.org/officeDocument/2006/relationships/chart" Target="charts/chart3.xml"/><Relationship Id="rId19" Type="http://schemas.openxmlformats.org/officeDocument/2006/relationships/hyperlink" Target="http://dx.doi.org/10.1787/5jrrxrzn24wl-en"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yperlink" Target="https://stats.oecd.or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zagidullina_g\Desktop\&#1076;&#1083;&#1103;%20&#1086;&#1090;&#1095;&#1077;&#1090;&#1072;\&#1057;&#1074;&#1086;&#1076;%20&#1076;&#1083;&#1103;%20&#1086;&#1090;&#1095;&#1077;&#1090;&#1072;-03.1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zagidullina_g\Desktop\&#1076;&#1083;&#1103;%20&#1086;&#1090;&#1095;&#1077;&#1090;&#1072;\&#1057;&#1074;&#1086;&#1076;%20&#1076;&#1083;&#1103;%20&#1086;&#1090;&#1095;&#1077;&#1090;&#1072;-03.1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zagidullina_g\Desktop\&#1076;&#1083;&#1103;%20&#1086;&#1090;&#1095;&#1077;&#1090;&#1072;\&#1057;&#1074;&#1086;&#1076;%20&#1076;&#1083;&#1103;%20&#1086;&#1090;&#1095;&#1077;&#1090;&#1072;-03.1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zagidullina_g\Desktop\&#1057;&#1074;&#1086;&#1076;%20&#1076;&#1083;&#1103;%20&#1086;&#1090;&#1095;&#1077;&#1090;&#1072;-02.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СравнитМ!$C$3</c:f>
              <c:strCache>
                <c:ptCount val="1"/>
                <c:pt idx="0">
                  <c:v>Казахстан</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СравнитМ!$B$4:$B$10</c:f>
              <c:strCache>
                <c:ptCount val="7"/>
                <c:pt idx="0">
                  <c:v>Острый инфаркт миокарда</c:v>
                </c:pt>
                <c:pt idx="1">
                  <c:v>Стенокардия</c:v>
                </c:pt>
                <c:pt idx="2">
                  <c:v>Холестилиаз</c:v>
                </c:pt>
                <c:pt idx="3">
                  <c:v>Сердечная недостаточность</c:v>
                </c:pt>
                <c:pt idx="4">
                  <c:v>Злокачественные образования бронхов и легких</c:v>
                </c:pt>
                <c:pt idx="5">
                  <c:v>Самопроизвольные роды</c:v>
                </c:pt>
                <c:pt idx="6">
                  <c:v>Пневмония</c:v>
                </c:pt>
              </c:strCache>
            </c:strRef>
          </c:cat>
          <c:val>
            <c:numRef>
              <c:f>СравнитМ!$C$4:$C$10</c:f>
              <c:numCache>
                <c:formatCode>#,##0</c:formatCode>
                <c:ptCount val="7"/>
                <c:pt idx="0">
                  <c:v>9.1566769599607731</c:v>
                </c:pt>
                <c:pt idx="1">
                  <c:v>8.6553970039670762</c:v>
                </c:pt>
                <c:pt idx="2">
                  <c:v>7.5260862127950645</c:v>
                </c:pt>
                <c:pt idx="3">
                  <c:v>9.1085826661047893</c:v>
                </c:pt>
                <c:pt idx="4">
                  <c:v>10.78634334660393</c:v>
                </c:pt>
                <c:pt idx="5">
                  <c:v>3.8504044742248253</c:v>
                </c:pt>
                <c:pt idx="6">
                  <c:v>8.8314993919036748</c:v>
                </c:pt>
              </c:numCache>
            </c:numRef>
          </c:val>
          <c:extLst>
            <c:ext xmlns:c16="http://schemas.microsoft.com/office/drawing/2014/chart" uri="{C3380CC4-5D6E-409C-BE32-E72D297353CC}">
              <c16:uniqueId val="{00000000-AE75-48FA-9F35-2AC8E8148C06}"/>
            </c:ext>
          </c:extLst>
        </c:ser>
        <c:ser>
          <c:idx val="1"/>
          <c:order val="1"/>
          <c:tx>
            <c:strRef>
              <c:f>СравнитМ!$D$3</c:f>
              <c:strCache>
                <c:ptCount val="1"/>
                <c:pt idx="0">
                  <c:v>ОЭСР</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СравнитМ!$B$4:$B$10</c:f>
              <c:strCache>
                <c:ptCount val="7"/>
                <c:pt idx="0">
                  <c:v>Острый инфаркт миокарда</c:v>
                </c:pt>
                <c:pt idx="1">
                  <c:v>Стенокардия</c:v>
                </c:pt>
                <c:pt idx="2">
                  <c:v>Холестилиаз</c:v>
                </c:pt>
                <c:pt idx="3">
                  <c:v>Сердечная недостаточность</c:v>
                </c:pt>
                <c:pt idx="4">
                  <c:v>Злокачественные образования бронхов и легких</c:v>
                </c:pt>
                <c:pt idx="5">
                  <c:v>Самопроизвольные роды</c:v>
                </c:pt>
                <c:pt idx="6">
                  <c:v>Пневмония</c:v>
                </c:pt>
              </c:strCache>
            </c:strRef>
          </c:cat>
          <c:val>
            <c:numRef>
              <c:f>СравнитМ!$D$4:$D$10</c:f>
              <c:numCache>
                <c:formatCode>General</c:formatCode>
                <c:ptCount val="7"/>
                <c:pt idx="0">
                  <c:v>6</c:v>
                </c:pt>
                <c:pt idx="1">
                  <c:v>3.6</c:v>
                </c:pt>
                <c:pt idx="2">
                  <c:v>4.7</c:v>
                </c:pt>
                <c:pt idx="3">
                  <c:v>7.1</c:v>
                </c:pt>
                <c:pt idx="4">
                  <c:v>6.4</c:v>
                </c:pt>
                <c:pt idx="5">
                  <c:v>3.3</c:v>
                </c:pt>
                <c:pt idx="6">
                  <c:v>6.9</c:v>
                </c:pt>
              </c:numCache>
            </c:numRef>
          </c:val>
          <c:extLst>
            <c:ext xmlns:c16="http://schemas.microsoft.com/office/drawing/2014/chart" uri="{C3380CC4-5D6E-409C-BE32-E72D297353CC}">
              <c16:uniqueId val="{00000001-AE75-48FA-9F35-2AC8E8148C06}"/>
            </c:ext>
          </c:extLst>
        </c:ser>
        <c:dLbls>
          <c:showLegendKey val="0"/>
          <c:showVal val="1"/>
          <c:showCatName val="0"/>
          <c:showSerName val="0"/>
          <c:showPercent val="0"/>
          <c:showBubbleSize val="0"/>
        </c:dLbls>
        <c:gapWidth val="150"/>
        <c:overlap val="-25"/>
        <c:axId val="429386064"/>
        <c:axId val="429386456"/>
      </c:barChart>
      <c:catAx>
        <c:axId val="429386064"/>
        <c:scaling>
          <c:orientation val="minMax"/>
        </c:scaling>
        <c:delete val="0"/>
        <c:axPos val="b"/>
        <c:numFmt formatCode="General" sourceLinked="0"/>
        <c:majorTickMark val="none"/>
        <c:minorTickMark val="none"/>
        <c:tickLblPos val="nextTo"/>
        <c:txPr>
          <a:bodyPr/>
          <a:lstStyle/>
          <a:p>
            <a:pPr>
              <a:defRPr sz="700"/>
            </a:pPr>
            <a:endParaRPr lang="ru-RU"/>
          </a:p>
        </c:txPr>
        <c:crossAx val="429386456"/>
        <c:crosses val="autoZero"/>
        <c:auto val="1"/>
        <c:lblAlgn val="ctr"/>
        <c:lblOffset val="100"/>
        <c:noMultiLvlLbl val="0"/>
      </c:catAx>
      <c:valAx>
        <c:axId val="429386456"/>
        <c:scaling>
          <c:orientation val="minMax"/>
        </c:scaling>
        <c:delete val="1"/>
        <c:axPos val="l"/>
        <c:numFmt formatCode="#,##0" sourceLinked="1"/>
        <c:majorTickMark val="out"/>
        <c:minorTickMark val="none"/>
        <c:tickLblPos val="nextTo"/>
        <c:crossAx val="429386064"/>
        <c:crosses val="autoZero"/>
        <c:crossBetween val="between"/>
      </c:valAx>
    </c:plotArea>
    <c:legend>
      <c:legendPos val="b"/>
      <c:overlay val="0"/>
      <c:txPr>
        <a:bodyPr/>
        <a:lstStyle/>
        <a:p>
          <a:pPr>
            <a:defRPr b="1"/>
          </a:pPr>
          <a:endParaRPr lang="ru-RU"/>
        </a:p>
      </c:txPr>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'Паритет (2)'!$E$2</c:f>
              <c:strCache>
                <c:ptCount val="1"/>
                <c:pt idx="0">
                  <c:v>ОЭСР</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Паритет!$B$3:$B$9</c:f>
              <c:strCache>
                <c:ptCount val="7"/>
                <c:pt idx="0">
                  <c:v>М01 Острый инфаркт миокарда</c:v>
                </c:pt>
                <c:pt idx="1">
                  <c:v>М02 Стенокардия</c:v>
                </c:pt>
                <c:pt idx="2">
                  <c:v>М03 Холестилиаз</c:v>
                </c:pt>
                <c:pt idx="3">
                  <c:v>М04 Сердечная недостаточность</c:v>
                </c:pt>
                <c:pt idx="4">
                  <c:v>М05 Злокачественные образования бронхов и легких</c:v>
                </c:pt>
                <c:pt idx="5">
                  <c:v>М06 Самопроизвольные роды</c:v>
                </c:pt>
                <c:pt idx="6">
                  <c:v>М07 Пневмония</c:v>
                </c:pt>
              </c:strCache>
            </c:strRef>
          </c:cat>
          <c:val>
            <c:numRef>
              <c:f>'Паритет (2)'!$C$3:$C$9</c:f>
              <c:numCache>
                <c:formatCode>#,##0</c:formatCode>
                <c:ptCount val="7"/>
                <c:pt idx="0">
                  <c:v>3170.46</c:v>
                </c:pt>
                <c:pt idx="1">
                  <c:v>1868.7800000000002</c:v>
                </c:pt>
                <c:pt idx="2">
                  <c:v>1676.92</c:v>
                </c:pt>
                <c:pt idx="3">
                  <c:v>2728.44</c:v>
                </c:pt>
                <c:pt idx="4">
                  <c:v>2376.52</c:v>
                </c:pt>
                <c:pt idx="5">
                  <c:v>1457.5</c:v>
                </c:pt>
                <c:pt idx="6">
                  <c:v>2580.04</c:v>
                </c:pt>
              </c:numCache>
            </c:numRef>
          </c:val>
          <c:extLst>
            <c:ext xmlns:c16="http://schemas.microsoft.com/office/drawing/2014/chart" uri="{C3380CC4-5D6E-409C-BE32-E72D297353CC}">
              <c16:uniqueId val="{00000000-3210-47B4-ADB0-AE7FC0291B8C}"/>
            </c:ext>
          </c:extLst>
        </c:ser>
        <c:ser>
          <c:idx val="1"/>
          <c:order val="1"/>
          <c:tx>
            <c:strRef>
              <c:f>'Паритет (2)'!$F$2</c:f>
              <c:strCache>
                <c:ptCount val="1"/>
                <c:pt idx="0">
                  <c:v>Казахстан</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Паритет!$B$3:$B$9</c:f>
              <c:strCache>
                <c:ptCount val="7"/>
                <c:pt idx="0">
                  <c:v>М01 Острый инфаркт миокарда</c:v>
                </c:pt>
                <c:pt idx="1">
                  <c:v>М02 Стенокардия</c:v>
                </c:pt>
                <c:pt idx="2">
                  <c:v>М03 Холестилиаз</c:v>
                </c:pt>
                <c:pt idx="3">
                  <c:v>М04 Сердечная недостаточность</c:v>
                </c:pt>
                <c:pt idx="4">
                  <c:v>М05 Злокачественные образования бронхов и легких</c:v>
                </c:pt>
                <c:pt idx="5">
                  <c:v>М06 Самопроизвольные роды</c:v>
                </c:pt>
                <c:pt idx="6">
                  <c:v>М07 Пневмония</c:v>
                </c:pt>
              </c:strCache>
            </c:strRef>
          </c:cat>
          <c:val>
            <c:numRef>
              <c:f>'Паритет (2)'!$N$3:$N$9</c:f>
              <c:numCache>
                <c:formatCode>#,##0</c:formatCode>
                <c:ptCount val="7"/>
                <c:pt idx="0">
                  <c:v>14895.378999037044</c:v>
                </c:pt>
                <c:pt idx="1">
                  <c:v>8436.4749401202498</c:v>
                </c:pt>
                <c:pt idx="2">
                  <c:v>4990.9583367836731</c:v>
                </c:pt>
                <c:pt idx="3">
                  <c:v>7088.8522124468773</c:v>
                </c:pt>
                <c:pt idx="4">
                  <c:v>7501.3678687480915</c:v>
                </c:pt>
                <c:pt idx="5">
                  <c:v>5137.2014438277383</c:v>
                </c:pt>
                <c:pt idx="6">
                  <c:v>5511.6443176397506</c:v>
                </c:pt>
              </c:numCache>
            </c:numRef>
          </c:val>
          <c:extLst>
            <c:ext xmlns:c16="http://schemas.microsoft.com/office/drawing/2014/chart" uri="{C3380CC4-5D6E-409C-BE32-E72D297353CC}">
              <c16:uniqueId val="{00000001-3210-47B4-ADB0-AE7FC0291B8C}"/>
            </c:ext>
          </c:extLst>
        </c:ser>
        <c:dLbls>
          <c:showLegendKey val="0"/>
          <c:showVal val="1"/>
          <c:showCatName val="0"/>
          <c:showSerName val="0"/>
          <c:showPercent val="0"/>
          <c:showBubbleSize val="0"/>
        </c:dLbls>
        <c:gapWidth val="150"/>
        <c:overlap val="-25"/>
        <c:axId val="421397192"/>
        <c:axId val="421397584"/>
      </c:barChart>
      <c:catAx>
        <c:axId val="421397192"/>
        <c:scaling>
          <c:orientation val="minMax"/>
        </c:scaling>
        <c:delete val="0"/>
        <c:axPos val="b"/>
        <c:numFmt formatCode="General" sourceLinked="0"/>
        <c:majorTickMark val="none"/>
        <c:minorTickMark val="none"/>
        <c:tickLblPos val="nextTo"/>
        <c:txPr>
          <a:bodyPr/>
          <a:lstStyle/>
          <a:p>
            <a:pPr>
              <a:defRPr sz="700" b="0"/>
            </a:pPr>
            <a:endParaRPr lang="ru-RU"/>
          </a:p>
        </c:txPr>
        <c:crossAx val="421397584"/>
        <c:crosses val="autoZero"/>
        <c:auto val="1"/>
        <c:lblAlgn val="ctr"/>
        <c:lblOffset val="100"/>
        <c:noMultiLvlLbl val="0"/>
      </c:catAx>
      <c:valAx>
        <c:axId val="421397584"/>
        <c:scaling>
          <c:orientation val="minMax"/>
        </c:scaling>
        <c:delete val="1"/>
        <c:axPos val="l"/>
        <c:numFmt formatCode="#,##0" sourceLinked="1"/>
        <c:majorTickMark val="out"/>
        <c:minorTickMark val="none"/>
        <c:tickLblPos val="nextTo"/>
        <c:crossAx val="421397192"/>
        <c:crosses val="autoZero"/>
        <c:crossBetween val="between"/>
      </c:valAx>
    </c:plotArea>
    <c:legend>
      <c:legendPos val="t"/>
      <c:overlay val="0"/>
      <c:txPr>
        <a:bodyPr/>
        <a:lstStyle/>
        <a:p>
          <a:pPr>
            <a:defRPr sz="1200" b="1"/>
          </a:pPr>
          <a:endParaRPr lang="ru-RU"/>
        </a:p>
      </c:txPr>
    </c:legend>
    <c:plotVisOnly val="1"/>
    <c:dispBlanksAs val="gap"/>
    <c:showDLblsOverMax val="0"/>
  </c:chart>
  <c:spPr>
    <a:ln>
      <a:noFill/>
    </a:ln>
  </c:spPr>
  <c:txPr>
    <a:bodyPr/>
    <a:lstStyle/>
    <a:p>
      <a:pPr algn="just">
        <a:defRPr sz="800">
          <a:latin typeface="Times New Roman" pitchFamily="18" charset="0"/>
          <a:cs typeface="Times New Roman" pitchFamily="18" charset="0"/>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Паритет!$E$2</c:f>
              <c:strCache>
                <c:ptCount val="1"/>
                <c:pt idx="0">
                  <c:v>ОЭСР</c:v>
                </c:pt>
              </c:strCache>
            </c:strRef>
          </c:tx>
          <c:invertIfNegative val="0"/>
          <c:dLbls>
            <c:delete val="1"/>
          </c:dLbls>
          <c:cat>
            <c:strRef>
              <c:f>Паритет!$B$10:$B$29</c:f>
              <c:strCache>
                <c:ptCount val="20"/>
                <c:pt idx="0">
                  <c:v>S01 Аппендэктомия</c:v>
                </c:pt>
                <c:pt idx="1">
                  <c:v>S02 Кесарево сечение</c:v>
                </c:pt>
                <c:pt idx="2">
                  <c:v>S03 Холецистэктомия</c:v>
                </c:pt>
                <c:pt idx="3">
                  <c:v>S04 Колоректальная резекция</c:v>
                </c:pt>
                <c:pt idx="4">
                  <c:v>S05 Шунтирование коронарной артерии</c:v>
                </c:pt>
                <c:pt idx="5">
                  <c:v>S06 Диссектомия</c:v>
                </c:pt>
                <c:pt idx="6">
                  <c:v>S07 Эндартерэктомия</c:v>
                </c:pt>
                <c:pt idx="7">
                  <c:v>S08 Замена тазобедренного сустава: общая и частичная</c:v>
                </c:pt>
                <c:pt idx="8">
                  <c:v>S09Гистерэктомия: брюшная или вагинальная</c:v>
                </c:pt>
                <c:pt idx="9">
                  <c:v>S10 Замена коленного сустава</c:v>
                </c:pt>
                <c:pt idx="10">
                  <c:v>S11 Мастэктомия</c:v>
                </c:pt>
                <c:pt idx="11">
                  <c:v>S12 Открытая простатэктомия</c:v>
                </c:pt>
                <c:pt idx="12">
                  <c:v>S13Чрескожная транслюминальная коронарная ангиопластика</c:v>
                </c:pt>
                <c:pt idx="13">
                  <c:v>S15 Ремонт паховой грыжи</c:v>
                </c:pt>
                <c:pt idx="14">
                  <c:v>S16 Тиреоидэктомия</c:v>
                </c:pt>
                <c:pt idx="15">
                  <c:v>S17Трансуретральная резекция предстательной железы</c:v>
                </c:pt>
                <c:pt idx="16">
                  <c:v>S18 Артроскопическое удаление мениска колена</c:v>
                </c:pt>
                <c:pt idx="17">
                  <c:v>S19 Процедуры линз и катаракты</c:v>
                </c:pt>
                <c:pt idx="18">
                  <c:v>S20 Лигирование и зачистка варикозных вен - нижняя конечность</c:v>
                </c:pt>
                <c:pt idx="19">
                  <c:v>S21 Тонзилэктомия и / или аденоидэктомия</c:v>
                </c:pt>
              </c:strCache>
            </c:strRef>
          </c:cat>
          <c:val>
            <c:numRef>
              <c:f>Паритет!$C$10:$C$29</c:f>
              <c:numCache>
                <c:formatCode>#,##0</c:formatCode>
                <c:ptCount val="20"/>
                <c:pt idx="0">
                  <c:v>3041</c:v>
                </c:pt>
                <c:pt idx="1">
                  <c:v>2936</c:v>
                </c:pt>
                <c:pt idx="2">
                  <c:v>2544</c:v>
                </c:pt>
                <c:pt idx="3">
                  <c:v>6730</c:v>
                </c:pt>
                <c:pt idx="4">
                  <c:v>12278</c:v>
                </c:pt>
                <c:pt idx="5">
                  <c:v>3252</c:v>
                </c:pt>
                <c:pt idx="6">
                  <c:v>5263</c:v>
                </c:pt>
                <c:pt idx="7">
                  <c:v>6322</c:v>
                </c:pt>
                <c:pt idx="8">
                  <c:v>3255</c:v>
                </c:pt>
                <c:pt idx="9">
                  <c:v>6137</c:v>
                </c:pt>
                <c:pt idx="10">
                  <c:v>3580</c:v>
                </c:pt>
                <c:pt idx="11">
                  <c:v>4977</c:v>
                </c:pt>
                <c:pt idx="12">
                  <c:v>4813</c:v>
                </c:pt>
                <c:pt idx="13">
                  <c:v>1744</c:v>
                </c:pt>
                <c:pt idx="14">
                  <c:v>2980</c:v>
                </c:pt>
                <c:pt idx="15">
                  <c:v>2445</c:v>
                </c:pt>
                <c:pt idx="16">
                  <c:v>1501</c:v>
                </c:pt>
                <c:pt idx="17">
                  <c:v>1592</c:v>
                </c:pt>
                <c:pt idx="18">
                  <c:v>1592</c:v>
                </c:pt>
                <c:pt idx="19">
                  <c:v>1304</c:v>
                </c:pt>
              </c:numCache>
            </c:numRef>
          </c:val>
          <c:extLst>
            <c:ext xmlns:c16="http://schemas.microsoft.com/office/drawing/2014/chart" uri="{C3380CC4-5D6E-409C-BE32-E72D297353CC}">
              <c16:uniqueId val="{00000000-4EE0-4B7B-8C99-E119145C448B}"/>
            </c:ext>
          </c:extLst>
        </c:ser>
        <c:ser>
          <c:idx val="1"/>
          <c:order val="1"/>
          <c:tx>
            <c:strRef>
              <c:f>Паритет!$F$2</c:f>
              <c:strCache>
                <c:ptCount val="1"/>
                <c:pt idx="0">
                  <c:v>Казахстан</c:v>
                </c:pt>
              </c:strCache>
            </c:strRef>
          </c:tx>
          <c:invertIfNegative val="0"/>
          <c:dLbls>
            <c:delete val="1"/>
          </c:dLbls>
          <c:cat>
            <c:strRef>
              <c:f>Паритет!$B$10:$B$29</c:f>
              <c:strCache>
                <c:ptCount val="20"/>
                <c:pt idx="0">
                  <c:v>S01 Аппендэктомия</c:v>
                </c:pt>
                <c:pt idx="1">
                  <c:v>S02 Кесарево сечение</c:v>
                </c:pt>
                <c:pt idx="2">
                  <c:v>S03 Холецистэктомия</c:v>
                </c:pt>
                <c:pt idx="3">
                  <c:v>S04 Колоректальная резекция</c:v>
                </c:pt>
                <c:pt idx="4">
                  <c:v>S05 Шунтирование коронарной артерии</c:v>
                </c:pt>
                <c:pt idx="5">
                  <c:v>S06 Диссектомия</c:v>
                </c:pt>
                <c:pt idx="6">
                  <c:v>S07 Эндартерэктомия</c:v>
                </c:pt>
                <c:pt idx="7">
                  <c:v>S08 Замена тазобедренного сустава: общая и частичная</c:v>
                </c:pt>
                <c:pt idx="8">
                  <c:v>S09Гистерэктомия: брюшная или вагинальная</c:v>
                </c:pt>
                <c:pt idx="9">
                  <c:v>S10 Замена коленного сустава</c:v>
                </c:pt>
                <c:pt idx="10">
                  <c:v>S11 Мастэктомия</c:v>
                </c:pt>
                <c:pt idx="11">
                  <c:v>S12 Открытая простатэктомия</c:v>
                </c:pt>
                <c:pt idx="12">
                  <c:v>S13Чрескожная транслюминальная коронарная ангиопластика</c:v>
                </c:pt>
                <c:pt idx="13">
                  <c:v>S15 Ремонт паховой грыжи</c:v>
                </c:pt>
                <c:pt idx="14">
                  <c:v>S16 Тиреоидэктомия</c:v>
                </c:pt>
                <c:pt idx="15">
                  <c:v>S17Трансуретральная резекция предстательной железы</c:v>
                </c:pt>
                <c:pt idx="16">
                  <c:v>S18 Артроскопическое удаление мениска колена</c:v>
                </c:pt>
                <c:pt idx="17">
                  <c:v>S19 Процедуры линз и катаракты</c:v>
                </c:pt>
                <c:pt idx="18">
                  <c:v>S20 Лигирование и зачистка варикозных вен - нижняя конечность</c:v>
                </c:pt>
                <c:pt idx="19">
                  <c:v>S21 Тонзилэктомия и / или аденоидэктомия</c:v>
                </c:pt>
              </c:strCache>
            </c:strRef>
          </c:cat>
          <c:val>
            <c:numRef>
              <c:f>Паритет!$N$10:$N$29</c:f>
              <c:numCache>
                <c:formatCode>#,##0</c:formatCode>
                <c:ptCount val="20"/>
                <c:pt idx="0">
                  <c:v>6231.1210088186544</c:v>
                </c:pt>
                <c:pt idx="1">
                  <c:v>7337.5976600771337</c:v>
                </c:pt>
                <c:pt idx="2">
                  <c:v>6208.9308473712199</c:v>
                </c:pt>
                <c:pt idx="3">
                  <c:v>7896.3708802243855</c:v>
                </c:pt>
                <c:pt idx="4">
                  <c:v>31446.423603787774</c:v>
                </c:pt>
                <c:pt idx="5">
                  <c:v>8109.4872357437471</c:v>
                </c:pt>
                <c:pt idx="6">
                  <c:v>13783.698237263025</c:v>
                </c:pt>
                <c:pt idx="7">
                  <c:v>22069.705406416102</c:v>
                </c:pt>
                <c:pt idx="8">
                  <c:v>14008.135386581671</c:v>
                </c:pt>
                <c:pt idx="9">
                  <c:v>23197.344737621177</c:v>
                </c:pt>
                <c:pt idx="10">
                  <c:v>6453.8155711677327</c:v>
                </c:pt>
                <c:pt idx="11">
                  <c:v>6603.6573198777851</c:v>
                </c:pt>
                <c:pt idx="12">
                  <c:v>21809.197609062576</c:v>
                </c:pt>
                <c:pt idx="13">
                  <c:v>4762.4201606981114</c:v>
                </c:pt>
                <c:pt idx="14">
                  <c:v>6807.4178562822908</c:v>
                </c:pt>
                <c:pt idx="15">
                  <c:v>6785.1738168949305</c:v>
                </c:pt>
                <c:pt idx="16">
                  <c:v>5167.9345174497785</c:v>
                </c:pt>
                <c:pt idx="17">
                  <c:v>6028.5241447695316</c:v>
                </c:pt>
                <c:pt idx="18">
                  <c:v>5123.0643769138014</c:v>
                </c:pt>
                <c:pt idx="19">
                  <c:v>4010.8803516788125</c:v>
                </c:pt>
              </c:numCache>
            </c:numRef>
          </c:val>
          <c:extLst>
            <c:ext xmlns:c16="http://schemas.microsoft.com/office/drawing/2014/chart" uri="{C3380CC4-5D6E-409C-BE32-E72D297353CC}">
              <c16:uniqueId val="{00000001-4EE0-4B7B-8C99-E119145C448B}"/>
            </c:ext>
          </c:extLst>
        </c:ser>
        <c:dLbls>
          <c:showLegendKey val="0"/>
          <c:showVal val="1"/>
          <c:showCatName val="0"/>
          <c:showSerName val="0"/>
          <c:showPercent val="0"/>
          <c:showBubbleSize val="0"/>
        </c:dLbls>
        <c:gapWidth val="75"/>
        <c:axId val="430260560"/>
        <c:axId val="430260952"/>
      </c:barChart>
      <c:catAx>
        <c:axId val="430260560"/>
        <c:scaling>
          <c:orientation val="minMax"/>
        </c:scaling>
        <c:delete val="0"/>
        <c:axPos val="b"/>
        <c:numFmt formatCode="General" sourceLinked="0"/>
        <c:majorTickMark val="none"/>
        <c:minorTickMark val="none"/>
        <c:tickLblPos val="nextTo"/>
        <c:txPr>
          <a:bodyPr/>
          <a:lstStyle/>
          <a:p>
            <a:pPr>
              <a:defRPr sz="700"/>
            </a:pPr>
            <a:endParaRPr lang="ru-RU"/>
          </a:p>
        </c:txPr>
        <c:crossAx val="430260952"/>
        <c:crosses val="autoZero"/>
        <c:auto val="1"/>
        <c:lblAlgn val="ctr"/>
        <c:lblOffset val="100"/>
        <c:noMultiLvlLbl val="0"/>
      </c:catAx>
      <c:valAx>
        <c:axId val="430260952"/>
        <c:scaling>
          <c:orientation val="minMax"/>
        </c:scaling>
        <c:delete val="0"/>
        <c:axPos val="l"/>
        <c:numFmt formatCode="#,##0" sourceLinked="1"/>
        <c:majorTickMark val="none"/>
        <c:minorTickMark val="none"/>
        <c:tickLblPos val="nextTo"/>
        <c:crossAx val="430260560"/>
        <c:crosses val="autoZero"/>
        <c:crossBetween val="between"/>
      </c:valAx>
    </c:plotArea>
    <c:legend>
      <c:legendPos val="b"/>
      <c:overlay val="0"/>
      <c:txPr>
        <a:bodyPr/>
        <a:lstStyle/>
        <a:p>
          <a:pPr>
            <a:defRPr b="1"/>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СравнитМ!$E$3</c:f>
              <c:strCache>
                <c:ptCount val="1"/>
                <c:pt idx="0">
                  <c:v>Казахстан</c:v>
                </c:pt>
              </c:strCache>
            </c:strRef>
          </c:tx>
          <c:invertIfNegative val="0"/>
          <c:dLbls>
            <c:spPr>
              <a:noFill/>
              <a:ln>
                <a:noFill/>
              </a:ln>
              <a:effectLst/>
            </c:spPr>
            <c:txPr>
              <a:bodyPr/>
              <a:lstStyle/>
              <a:p>
                <a:pPr>
                  <a:defRPr sz="9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СравнитМ!$B$4:$B$10</c:f>
              <c:strCache>
                <c:ptCount val="7"/>
                <c:pt idx="0">
                  <c:v>Острый инфаркт миокарда</c:v>
                </c:pt>
                <c:pt idx="1">
                  <c:v>Стенокардия</c:v>
                </c:pt>
                <c:pt idx="2">
                  <c:v>Холестилиаз</c:v>
                </c:pt>
                <c:pt idx="3">
                  <c:v>Сердечная недостаточность</c:v>
                </c:pt>
                <c:pt idx="4">
                  <c:v>Злокачественные образования бронхов и легких</c:v>
                </c:pt>
                <c:pt idx="5">
                  <c:v>Самопроизвольные роды</c:v>
                </c:pt>
                <c:pt idx="6">
                  <c:v>Пневмония</c:v>
                </c:pt>
              </c:strCache>
            </c:strRef>
          </c:cat>
          <c:val>
            <c:numRef>
              <c:f>СравнитМ!$E$4:$E$10</c:f>
              <c:numCache>
                <c:formatCode>0</c:formatCode>
                <c:ptCount val="7"/>
                <c:pt idx="0">
                  <c:v>190.00084638165777</c:v>
                </c:pt>
                <c:pt idx="1">
                  <c:v>103.40429122156492</c:v>
                </c:pt>
                <c:pt idx="2">
                  <c:v>40.330187642255645</c:v>
                </c:pt>
                <c:pt idx="3">
                  <c:v>50.004850692242741</c:v>
                </c:pt>
                <c:pt idx="4">
                  <c:v>64.28566670082337</c:v>
                </c:pt>
                <c:pt idx="5">
                  <c:v>49.160843569663747</c:v>
                </c:pt>
                <c:pt idx="6">
                  <c:v>31.967643689584818</c:v>
                </c:pt>
              </c:numCache>
            </c:numRef>
          </c:val>
          <c:extLst>
            <c:ext xmlns:c16="http://schemas.microsoft.com/office/drawing/2014/chart" uri="{C3380CC4-5D6E-409C-BE32-E72D297353CC}">
              <c16:uniqueId val="{00000000-7EBF-488F-A5C9-73084F7A2BE4}"/>
            </c:ext>
          </c:extLst>
        </c:ser>
        <c:ser>
          <c:idx val="1"/>
          <c:order val="1"/>
          <c:tx>
            <c:strRef>
              <c:f>СравнитМ!$F$3</c:f>
              <c:strCache>
                <c:ptCount val="1"/>
                <c:pt idx="0">
                  <c:v>ОЭСР</c:v>
                </c:pt>
              </c:strCache>
            </c:strRef>
          </c:tx>
          <c:invertIfNegative val="0"/>
          <c:dLbls>
            <c:spPr>
              <a:noFill/>
              <a:ln>
                <a:noFill/>
              </a:ln>
              <a:effectLst/>
            </c:spPr>
            <c:txPr>
              <a:bodyPr/>
              <a:lstStyle/>
              <a:p>
                <a:pPr>
                  <a:defRPr sz="9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СравнитМ!$B$4:$B$10</c:f>
              <c:strCache>
                <c:ptCount val="7"/>
                <c:pt idx="0">
                  <c:v>Острый инфаркт миокарда</c:v>
                </c:pt>
                <c:pt idx="1">
                  <c:v>Стенокардия</c:v>
                </c:pt>
                <c:pt idx="2">
                  <c:v>Холестилиаз</c:v>
                </c:pt>
                <c:pt idx="3">
                  <c:v>Сердечная недостаточность</c:v>
                </c:pt>
                <c:pt idx="4">
                  <c:v>Злокачественные образования бронхов и легких</c:v>
                </c:pt>
                <c:pt idx="5">
                  <c:v>Самопроизвольные роды</c:v>
                </c:pt>
                <c:pt idx="6">
                  <c:v>Пневмония</c:v>
                </c:pt>
              </c:strCache>
            </c:strRef>
          </c:cat>
          <c:val>
            <c:numRef>
              <c:f>СравнитМ!$F$4:$F$10</c:f>
              <c:numCache>
                <c:formatCode>#,##0</c:formatCode>
                <c:ptCount val="7"/>
                <c:pt idx="0">
                  <c:v>3170.46</c:v>
                </c:pt>
                <c:pt idx="1">
                  <c:v>1868.7800000000002</c:v>
                </c:pt>
                <c:pt idx="2">
                  <c:v>1676.92</c:v>
                </c:pt>
                <c:pt idx="3">
                  <c:v>2728.44</c:v>
                </c:pt>
                <c:pt idx="4">
                  <c:v>2376.52</c:v>
                </c:pt>
                <c:pt idx="5">
                  <c:v>1457.5</c:v>
                </c:pt>
                <c:pt idx="6">
                  <c:v>2580.04</c:v>
                </c:pt>
              </c:numCache>
            </c:numRef>
          </c:val>
          <c:extLst>
            <c:ext xmlns:c16="http://schemas.microsoft.com/office/drawing/2014/chart" uri="{C3380CC4-5D6E-409C-BE32-E72D297353CC}">
              <c16:uniqueId val="{00000001-7EBF-488F-A5C9-73084F7A2BE4}"/>
            </c:ext>
          </c:extLst>
        </c:ser>
        <c:dLbls>
          <c:showLegendKey val="0"/>
          <c:showVal val="1"/>
          <c:showCatName val="0"/>
          <c:showSerName val="0"/>
          <c:showPercent val="0"/>
          <c:showBubbleSize val="0"/>
        </c:dLbls>
        <c:gapWidth val="75"/>
        <c:axId val="429387240"/>
        <c:axId val="429387632"/>
      </c:barChart>
      <c:catAx>
        <c:axId val="429387240"/>
        <c:scaling>
          <c:orientation val="minMax"/>
        </c:scaling>
        <c:delete val="0"/>
        <c:axPos val="b"/>
        <c:numFmt formatCode="General" sourceLinked="1"/>
        <c:majorTickMark val="none"/>
        <c:minorTickMark val="none"/>
        <c:tickLblPos val="nextTo"/>
        <c:txPr>
          <a:bodyPr/>
          <a:lstStyle/>
          <a:p>
            <a:pPr>
              <a:defRPr sz="700"/>
            </a:pPr>
            <a:endParaRPr lang="ru-RU"/>
          </a:p>
        </c:txPr>
        <c:crossAx val="429387632"/>
        <c:crosses val="autoZero"/>
        <c:auto val="1"/>
        <c:lblAlgn val="ctr"/>
        <c:lblOffset val="100"/>
        <c:noMultiLvlLbl val="0"/>
      </c:catAx>
      <c:valAx>
        <c:axId val="429387632"/>
        <c:scaling>
          <c:orientation val="minMax"/>
        </c:scaling>
        <c:delete val="1"/>
        <c:axPos val="l"/>
        <c:numFmt formatCode="0" sourceLinked="1"/>
        <c:majorTickMark val="none"/>
        <c:minorTickMark val="none"/>
        <c:tickLblPos val="nextTo"/>
        <c:crossAx val="429387240"/>
        <c:crosses val="autoZero"/>
        <c:crossBetween val="between"/>
      </c:valAx>
    </c:plotArea>
    <c:legend>
      <c:legendPos val="b"/>
      <c:overlay val="0"/>
      <c:txPr>
        <a:bodyPr/>
        <a:lstStyle/>
        <a:p>
          <a:pPr>
            <a:defRPr sz="900" b="1"/>
          </a:pPr>
          <a:endParaRPr lang="ru-RU"/>
        </a:p>
      </c:txPr>
    </c:legend>
    <c:plotVisOnly val="1"/>
    <c:dispBlanksAs val="gap"/>
    <c:showDLblsOverMax val="0"/>
  </c:chart>
  <c:txPr>
    <a:bodyPr/>
    <a:lstStyle/>
    <a:p>
      <a:pPr>
        <a:defRPr sz="5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overlay val="0"/>
    </c:title>
    <c:autoTitleDeleted val="0"/>
    <c:view3D>
      <c:rotX val="75"/>
      <c:rotY val="0"/>
      <c:rAngAx val="0"/>
    </c:view3D>
    <c:floor>
      <c:thickness val="0"/>
    </c:floor>
    <c:sideWall>
      <c:thickness val="0"/>
    </c:sideWall>
    <c:backWall>
      <c:thickness val="0"/>
    </c:backWall>
    <c:plotArea>
      <c:layout/>
      <c:pie3DChart>
        <c:varyColors val="1"/>
        <c:ser>
          <c:idx val="0"/>
          <c:order val="0"/>
          <c:tx>
            <c:strRef>
              <c:f>СравнитМ!$N$30</c:f>
              <c:strCache>
                <c:ptCount val="1"/>
                <c:pt idx="0">
                  <c:v>Острый инфаркт миокарда</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СравнитМ!$R$29:$S$29</c:f>
              <c:strCache>
                <c:ptCount val="2"/>
                <c:pt idx="0">
                  <c:v>Государственный сектор</c:v>
                </c:pt>
                <c:pt idx="1">
                  <c:v>Частный сектор</c:v>
                </c:pt>
              </c:strCache>
            </c:strRef>
          </c:cat>
          <c:val>
            <c:numRef>
              <c:f>СравнитМ!$R$30:$S$30</c:f>
              <c:numCache>
                <c:formatCode>0%</c:formatCode>
                <c:ptCount val="2"/>
                <c:pt idx="0">
                  <c:v>0.97000000000000064</c:v>
                </c:pt>
                <c:pt idx="1">
                  <c:v>3.0000000000000002E-2</c:v>
                </c:pt>
              </c:numCache>
            </c:numRef>
          </c:val>
          <c:extLst>
            <c:ext xmlns:c16="http://schemas.microsoft.com/office/drawing/2014/chart" uri="{C3380CC4-5D6E-409C-BE32-E72D297353CC}">
              <c16:uniqueId val="{00000000-FE52-4DAA-B542-EE5BBAEC3C81}"/>
            </c:ext>
          </c:extLst>
        </c:ser>
        <c:dLbls>
          <c:showLegendKey val="0"/>
          <c:showVal val="0"/>
          <c:showCatName val="0"/>
          <c:showSerName val="0"/>
          <c:showPercent val="1"/>
          <c:showBubbleSize val="0"/>
          <c:showLeaderLines val="0"/>
        </c:dLbls>
      </c:pie3DChart>
    </c:plotArea>
    <c:legend>
      <c:legendPos val="t"/>
      <c:overlay val="0"/>
      <c:txPr>
        <a:bodyPr/>
        <a:lstStyle/>
        <a:p>
          <a:pPr>
            <a:defRPr sz="900"/>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6"/>
    </mc:Choice>
    <mc:Fallback>
      <c:style val="16"/>
    </mc:Fallback>
  </mc:AlternateContent>
  <c:chart>
    <c:title>
      <c:overlay val="0"/>
    </c:title>
    <c:autoTitleDeleted val="0"/>
    <c:view3D>
      <c:rotX val="75"/>
      <c:rotY val="0"/>
      <c:rAngAx val="0"/>
    </c:view3D>
    <c:floor>
      <c:thickness val="0"/>
    </c:floor>
    <c:sideWall>
      <c:thickness val="0"/>
    </c:sideWall>
    <c:backWall>
      <c:thickness val="0"/>
    </c:backWall>
    <c:plotArea>
      <c:layout/>
      <c:pie3DChart>
        <c:varyColors val="1"/>
        <c:ser>
          <c:idx val="0"/>
          <c:order val="0"/>
          <c:tx>
            <c:strRef>
              <c:f>СравнитМ!$N$31</c:f>
              <c:strCache>
                <c:ptCount val="1"/>
                <c:pt idx="0">
                  <c:v>Стенокардия</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СравнитМ!$R$29:$S$29</c:f>
              <c:strCache>
                <c:ptCount val="2"/>
                <c:pt idx="0">
                  <c:v>Государственный сектор</c:v>
                </c:pt>
                <c:pt idx="1">
                  <c:v>Частный сектор</c:v>
                </c:pt>
              </c:strCache>
            </c:strRef>
          </c:cat>
          <c:val>
            <c:numRef>
              <c:f>СравнитМ!$R$31:$S$31</c:f>
              <c:numCache>
                <c:formatCode>0%</c:formatCode>
                <c:ptCount val="2"/>
                <c:pt idx="0">
                  <c:v>0.87000000000000299</c:v>
                </c:pt>
                <c:pt idx="1">
                  <c:v>0.13</c:v>
                </c:pt>
              </c:numCache>
            </c:numRef>
          </c:val>
          <c:extLst>
            <c:ext xmlns:c16="http://schemas.microsoft.com/office/drawing/2014/chart" uri="{C3380CC4-5D6E-409C-BE32-E72D297353CC}">
              <c16:uniqueId val="{00000000-ED4C-4EC4-86D4-3BA79EBC0FC9}"/>
            </c:ext>
          </c:extLst>
        </c:ser>
        <c:dLbls>
          <c:showLegendKey val="0"/>
          <c:showVal val="0"/>
          <c:showCatName val="0"/>
          <c:showSerName val="0"/>
          <c:showPercent val="1"/>
          <c:showBubbleSize val="0"/>
          <c:showLeaderLines val="0"/>
        </c:dLbls>
      </c:pie3DChart>
    </c:plotArea>
    <c:legend>
      <c:legendPos val="t"/>
      <c:overlay val="0"/>
      <c:txPr>
        <a:bodyPr/>
        <a:lstStyle/>
        <a:p>
          <a:pPr>
            <a:defRPr sz="800"/>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5"/>
    </mc:Choice>
    <mc:Fallback>
      <c:style val="15"/>
    </mc:Fallback>
  </mc:AlternateContent>
  <c:chart>
    <c:title>
      <c:overlay val="0"/>
    </c:title>
    <c:autoTitleDeleted val="0"/>
    <c:view3D>
      <c:rotX val="75"/>
      <c:rotY val="0"/>
      <c:rAngAx val="0"/>
    </c:view3D>
    <c:floor>
      <c:thickness val="0"/>
    </c:floor>
    <c:sideWall>
      <c:thickness val="0"/>
    </c:sideWall>
    <c:backWall>
      <c:thickness val="0"/>
    </c:backWall>
    <c:plotArea>
      <c:layout/>
      <c:pie3DChart>
        <c:varyColors val="1"/>
        <c:ser>
          <c:idx val="0"/>
          <c:order val="0"/>
          <c:tx>
            <c:strRef>
              <c:f>СравнитМ!$N$32</c:f>
              <c:strCache>
                <c:ptCount val="1"/>
                <c:pt idx="0">
                  <c:v>Холестилиаз</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СравнитМ!$R$29:$S$29</c:f>
              <c:strCache>
                <c:ptCount val="2"/>
                <c:pt idx="0">
                  <c:v>Государственный сектор</c:v>
                </c:pt>
                <c:pt idx="1">
                  <c:v>Частный сектор</c:v>
                </c:pt>
              </c:strCache>
            </c:strRef>
          </c:cat>
          <c:val>
            <c:numRef>
              <c:f>СравнитМ!$R$32:$S$32</c:f>
              <c:numCache>
                <c:formatCode>0%</c:formatCode>
                <c:ptCount val="2"/>
                <c:pt idx="0">
                  <c:v>0.81</c:v>
                </c:pt>
                <c:pt idx="1">
                  <c:v>0.19</c:v>
                </c:pt>
              </c:numCache>
            </c:numRef>
          </c:val>
          <c:extLst>
            <c:ext xmlns:c16="http://schemas.microsoft.com/office/drawing/2014/chart" uri="{C3380CC4-5D6E-409C-BE32-E72D297353CC}">
              <c16:uniqueId val="{00000000-3520-4B8C-B9F7-C64F79534FF1}"/>
            </c:ext>
          </c:extLst>
        </c:ser>
        <c:dLbls>
          <c:showLegendKey val="0"/>
          <c:showVal val="0"/>
          <c:showCatName val="0"/>
          <c:showSerName val="0"/>
          <c:showPercent val="1"/>
          <c:showBubbleSize val="0"/>
          <c:showLeaderLines val="0"/>
        </c:dLbls>
      </c:pie3DChart>
    </c:plotArea>
    <c:legend>
      <c:legendPos val="t"/>
      <c:overlay val="0"/>
      <c:txPr>
        <a:bodyPr/>
        <a:lstStyle/>
        <a:p>
          <a:pPr>
            <a:defRPr sz="800"/>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9"/>
    </mc:Choice>
    <mc:Fallback>
      <c:style val="9"/>
    </mc:Fallback>
  </mc:AlternateContent>
  <c:chart>
    <c:title>
      <c:overlay val="0"/>
    </c:title>
    <c:autoTitleDeleted val="0"/>
    <c:view3D>
      <c:rotX val="75"/>
      <c:rotY val="0"/>
      <c:rAngAx val="0"/>
    </c:view3D>
    <c:floor>
      <c:thickness val="0"/>
    </c:floor>
    <c:sideWall>
      <c:thickness val="0"/>
    </c:sideWall>
    <c:backWall>
      <c:thickness val="0"/>
    </c:backWall>
    <c:plotArea>
      <c:layout/>
      <c:pie3DChart>
        <c:varyColors val="1"/>
        <c:ser>
          <c:idx val="0"/>
          <c:order val="0"/>
          <c:tx>
            <c:strRef>
              <c:f>СравнитМ!$N$33</c:f>
              <c:strCache>
                <c:ptCount val="1"/>
                <c:pt idx="0">
                  <c:v>Сердечная недостаточность</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СравнитМ!$R$29:$S$29</c:f>
              <c:strCache>
                <c:ptCount val="2"/>
                <c:pt idx="0">
                  <c:v>Государственный сектор</c:v>
                </c:pt>
                <c:pt idx="1">
                  <c:v>Частный сектор</c:v>
                </c:pt>
              </c:strCache>
            </c:strRef>
          </c:cat>
          <c:val>
            <c:numRef>
              <c:f>СравнитМ!$R$33:$S$33</c:f>
              <c:numCache>
                <c:formatCode>0%</c:formatCode>
                <c:ptCount val="2"/>
                <c:pt idx="0">
                  <c:v>0.88</c:v>
                </c:pt>
                <c:pt idx="1">
                  <c:v>0.22</c:v>
                </c:pt>
              </c:numCache>
            </c:numRef>
          </c:val>
          <c:extLst>
            <c:ext xmlns:c16="http://schemas.microsoft.com/office/drawing/2014/chart" uri="{C3380CC4-5D6E-409C-BE32-E72D297353CC}">
              <c16:uniqueId val="{00000000-DA25-4D4D-8F16-639011B1E0AB}"/>
            </c:ext>
          </c:extLst>
        </c:ser>
        <c:dLbls>
          <c:showLegendKey val="0"/>
          <c:showVal val="0"/>
          <c:showCatName val="0"/>
          <c:showSerName val="0"/>
          <c:showPercent val="1"/>
          <c:showBubbleSize val="0"/>
          <c:showLeaderLines val="0"/>
        </c:dLbls>
      </c:pie3DChart>
    </c:plotArea>
    <c:legend>
      <c:legendPos val="t"/>
      <c:overlay val="0"/>
      <c:txPr>
        <a:bodyPr/>
        <a:lstStyle/>
        <a:p>
          <a:pPr>
            <a:defRPr sz="800"/>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2"/>
    </mc:Choice>
    <mc:Fallback>
      <c:style val="12"/>
    </mc:Fallback>
  </mc:AlternateContent>
  <c:chart>
    <c:title>
      <c:overlay val="0"/>
    </c:title>
    <c:autoTitleDeleted val="0"/>
    <c:view3D>
      <c:rotX val="75"/>
      <c:rotY val="0"/>
      <c:rAngAx val="0"/>
    </c:view3D>
    <c:floor>
      <c:thickness val="0"/>
    </c:floor>
    <c:sideWall>
      <c:thickness val="0"/>
    </c:sideWall>
    <c:backWall>
      <c:thickness val="0"/>
    </c:backWall>
    <c:plotArea>
      <c:layout/>
      <c:pie3DChart>
        <c:varyColors val="1"/>
        <c:ser>
          <c:idx val="0"/>
          <c:order val="0"/>
          <c:tx>
            <c:strRef>
              <c:f>СравнитМ!$N$34</c:f>
              <c:strCache>
                <c:ptCount val="1"/>
                <c:pt idx="0">
                  <c:v>Злокачественные образования бронхов и легких</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СравнитМ!$R$29:$S$29</c:f>
              <c:strCache>
                <c:ptCount val="2"/>
                <c:pt idx="0">
                  <c:v>Государственный сектор</c:v>
                </c:pt>
                <c:pt idx="1">
                  <c:v>Частный сектор</c:v>
                </c:pt>
              </c:strCache>
            </c:strRef>
          </c:cat>
          <c:val>
            <c:numRef>
              <c:f>СравнитМ!$R$34:$S$34</c:f>
              <c:numCache>
                <c:formatCode>0%</c:formatCode>
                <c:ptCount val="2"/>
                <c:pt idx="0">
                  <c:v>0.96000000000000063</c:v>
                </c:pt>
                <c:pt idx="1">
                  <c:v>4.0000000000000022E-2</c:v>
                </c:pt>
              </c:numCache>
            </c:numRef>
          </c:val>
          <c:extLst>
            <c:ext xmlns:c16="http://schemas.microsoft.com/office/drawing/2014/chart" uri="{C3380CC4-5D6E-409C-BE32-E72D297353CC}">
              <c16:uniqueId val="{00000000-961D-4B47-8517-A1F7DB51DD86}"/>
            </c:ext>
          </c:extLst>
        </c:ser>
        <c:dLbls>
          <c:showLegendKey val="0"/>
          <c:showVal val="0"/>
          <c:showCatName val="0"/>
          <c:showSerName val="0"/>
          <c:showPercent val="1"/>
          <c:showBubbleSize val="0"/>
          <c:showLeaderLines val="0"/>
        </c:dLbls>
      </c:pie3DChart>
    </c:plotArea>
    <c:legend>
      <c:legendPos val="t"/>
      <c:overlay val="0"/>
      <c:txPr>
        <a:bodyPr/>
        <a:lstStyle/>
        <a:p>
          <a:pPr>
            <a:defRPr sz="800"/>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2"/>
    </mc:Choice>
    <mc:Fallback>
      <c:style val="12"/>
    </mc:Fallback>
  </mc:AlternateContent>
  <c:chart>
    <c:title>
      <c:overlay val="0"/>
    </c:title>
    <c:autoTitleDeleted val="0"/>
    <c:view3D>
      <c:rotX val="75"/>
      <c:rotY val="0"/>
      <c:rAngAx val="0"/>
    </c:view3D>
    <c:floor>
      <c:thickness val="0"/>
    </c:floor>
    <c:sideWall>
      <c:thickness val="0"/>
    </c:sideWall>
    <c:backWall>
      <c:thickness val="0"/>
    </c:backWall>
    <c:plotArea>
      <c:layout/>
      <c:pie3DChart>
        <c:varyColors val="1"/>
        <c:ser>
          <c:idx val="0"/>
          <c:order val="0"/>
          <c:tx>
            <c:strRef>
              <c:f>СравнитМ!$N$35</c:f>
              <c:strCache>
                <c:ptCount val="1"/>
                <c:pt idx="0">
                  <c:v>Самопроизвольные роды</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СравнитМ!$R$29:$S$29</c:f>
              <c:strCache>
                <c:ptCount val="2"/>
                <c:pt idx="0">
                  <c:v>Государственный сектор</c:v>
                </c:pt>
                <c:pt idx="1">
                  <c:v>Частный сектор</c:v>
                </c:pt>
              </c:strCache>
            </c:strRef>
          </c:cat>
          <c:val>
            <c:numRef>
              <c:f>СравнитМ!$R$35:$S$35</c:f>
              <c:numCache>
                <c:formatCode>0%</c:formatCode>
                <c:ptCount val="2"/>
                <c:pt idx="0">
                  <c:v>0.9</c:v>
                </c:pt>
                <c:pt idx="1">
                  <c:v>0.1</c:v>
                </c:pt>
              </c:numCache>
            </c:numRef>
          </c:val>
          <c:extLst>
            <c:ext xmlns:c16="http://schemas.microsoft.com/office/drawing/2014/chart" uri="{C3380CC4-5D6E-409C-BE32-E72D297353CC}">
              <c16:uniqueId val="{00000000-A3D0-4389-B179-0CE940590833}"/>
            </c:ext>
          </c:extLst>
        </c:ser>
        <c:dLbls>
          <c:showLegendKey val="0"/>
          <c:showVal val="0"/>
          <c:showCatName val="0"/>
          <c:showSerName val="0"/>
          <c:showPercent val="1"/>
          <c:showBubbleSize val="0"/>
          <c:showLeaderLines val="0"/>
        </c:dLbls>
      </c:pie3DChart>
    </c:plotArea>
    <c:legend>
      <c:legendPos val="t"/>
      <c:overlay val="0"/>
      <c:txPr>
        <a:bodyPr/>
        <a:lstStyle/>
        <a:p>
          <a:pPr>
            <a:defRPr sz="900"/>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4"/>
    </mc:Choice>
    <mc:Fallback>
      <c:style val="14"/>
    </mc:Fallback>
  </mc:AlternateContent>
  <c:chart>
    <c:title>
      <c:overlay val="0"/>
    </c:title>
    <c:autoTitleDeleted val="0"/>
    <c:view3D>
      <c:rotX val="75"/>
      <c:rotY val="0"/>
      <c:rAngAx val="0"/>
    </c:view3D>
    <c:floor>
      <c:thickness val="0"/>
    </c:floor>
    <c:sideWall>
      <c:thickness val="0"/>
    </c:sideWall>
    <c:backWall>
      <c:thickness val="0"/>
    </c:backWall>
    <c:plotArea>
      <c:layout/>
      <c:pie3DChart>
        <c:varyColors val="1"/>
        <c:ser>
          <c:idx val="0"/>
          <c:order val="0"/>
          <c:tx>
            <c:strRef>
              <c:f>СравнитМ!$N$36</c:f>
              <c:strCache>
                <c:ptCount val="1"/>
                <c:pt idx="0">
                  <c:v>Пневмония</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СравнитМ!$R$29:$S$29</c:f>
              <c:strCache>
                <c:ptCount val="2"/>
                <c:pt idx="0">
                  <c:v>Государственный сектор</c:v>
                </c:pt>
                <c:pt idx="1">
                  <c:v>Частный сектор</c:v>
                </c:pt>
              </c:strCache>
            </c:strRef>
          </c:cat>
          <c:val>
            <c:numRef>
              <c:f>СравнитМ!$R$36:$S$36</c:f>
              <c:numCache>
                <c:formatCode>0%</c:formatCode>
                <c:ptCount val="2"/>
                <c:pt idx="0">
                  <c:v>0.9</c:v>
                </c:pt>
                <c:pt idx="1">
                  <c:v>0.1</c:v>
                </c:pt>
              </c:numCache>
            </c:numRef>
          </c:val>
          <c:extLst>
            <c:ext xmlns:c16="http://schemas.microsoft.com/office/drawing/2014/chart" uri="{C3380CC4-5D6E-409C-BE32-E72D297353CC}">
              <c16:uniqueId val="{00000000-2979-487F-940F-B72D9EA8480D}"/>
            </c:ext>
          </c:extLst>
        </c:ser>
        <c:dLbls>
          <c:showLegendKey val="0"/>
          <c:showVal val="0"/>
          <c:showCatName val="0"/>
          <c:showSerName val="0"/>
          <c:showPercent val="1"/>
          <c:showBubbleSize val="0"/>
          <c:showLeaderLines val="0"/>
        </c:dLbls>
      </c:pie3DChart>
    </c:plotArea>
    <c:legend>
      <c:legendPos val="t"/>
      <c:overlay val="0"/>
      <c:txPr>
        <a:bodyPr/>
        <a:lstStyle/>
        <a:p>
          <a:pPr>
            <a:defRPr sz="900"/>
          </a:pPr>
          <a:endParaRPr lang="ru-RU"/>
        </a:p>
      </c:txPr>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EF4D2-2B53-4BBF-9AD9-BBEF76BA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11991</Words>
  <Characters>68355</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Загидуллина Галина Наильевна</dc:creator>
  <cp:keywords/>
  <dc:description/>
  <cp:lastModifiedBy>Admin</cp:lastModifiedBy>
  <cp:revision>2</cp:revision>
  <cp:lastPrinted>2018-12-25T05:39:00Z</cp:lastPrinted>
  <dcterms:created xsi:type="dcterms:W3CDTF">2018-12-25T05:40:00Z</dcterms:created>
  <dcterms:modified xsi:type="dcterms:W3CDTF">2018-12-25T05:40:00Z</dcterms:modified>
</cp:coreProperties>
</file>